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662A5">
      <w:pPr>
        <w:jc w:val="center"/>
        <w:rPr>
          <w:rFonts w:ascii="黑体" w:hAnsi="黑体" w:eastAsia="黑体" w:cs="黑体"/>
          <w:sz w:val="36"/>
          <w:szCs w:val="36"/>
        </w:rPr>
      </w:pPr>
      <w:r>
        <w:rPr>
          <w:rFonts w:hint="eastAsia" w:ascii="黑体" w:hAnsi="黑体" w:eastAsia="黑体" w:cs="黑体"/>
          <w:sz w:val="36"/>
          <w:szCs w:val="36"/>
        </w:rPr>
        <w:t>广东科技学院“东莞红色文化中心”2025年度工作总结与2026年度工作计划</w:t>
      </w:r>
    </w:p>
    <w:p w14:paraId="62BC80AE">
      <w:pPr>
        <w:pStyle w:val="2"/>
      </w:pPr>
    </w:p>
    <w:p w14:paraId="44CE7DD0">
      <w:pPr>
        <w:spacing w:line="360" w:lineRule="auto"/>
        <w:ind w:firstLine="480" w:firstLineChars="200"/>
        <w:rPr>
          <w:rFonts w:ascii="宋体" w:hAnsi="宋体" w:eastAsia="宋体" w:cs="宋体"/>
          <w:sz w:val="24"/>
          <w:szCs w:val="24"/>
        </w:rPr>
      </w:pPr>
      <w:r>
        <w:rPr>
          <w:rFonts w:hint="eastAsia"/>
          <w:sz w:val="24"/>
          <w:szCs w:val="24"/>
        </w:rPr>
        <w:t>广东</w:t>
      </w:r>
      <w:r>
        <w:rPr>
          <w:rFonts w:hint="eastAsia" w:ascii="宋体" w:hAnsi="宋体" w:eastAsia="宋体" w:cs="宋体"/>
          <w:sz w:val="24"/>
          <w:szCs w:val="24"/>
        </w:rPr>
        <w:t>科技学院“</w:t>
      </w:r>
      <w:r>
        <w:rPr>
          <w:rFonts w:ascii="宋体" w:hAnsi="宋体" w:eastAsia="宋体" w:cs="宋体"/>
          <w:sz w:val="24"/>
          <w:szCs w:val="24"/>
        </w:rPr>
        <w:t>东莞红色文化中心</w:t>
      </w:r>
      <w:r>
        <w:rPr>
          <w:rFonts w:hint="eastAsia" w:ascii="宋体" w:hAnsi="宋体" w:eastAsia="宋体" w:cs="宋体"/>
          <w:sz w:val="24"/>
          <w:szCs w:val="24"/>
        </w:rPr>
        <w:t>”于2024年被批准为广东省岭南文化研究基地。学校高度重视研究基地的建设与发展，在研究中心主任吴念香书记、执行主任王斌的带领下，</w:t>
      </w:r>
      <w:r>
        <w:rPr>
          <w:rFonts w:ascii="宋体" w:hAnsi="宋体" w:eastAsia="宋体" w:cs="宋体"/>
          <w:sz w:val="24"/>
          <w:szCs w:val="24"/>
        </w:rPr>
        <w:t>研究中心以“研究+培训+服务”为导向，</w:t>
      </w:r>
      <w:r>
        <w:rPr>
          <w:rFonts w:hint="eastAsia" w:ascii="宋体" w:hAnsi="宋体" w:eastAsia="宋体" w:cs="宋体"/>
          <w:sz w:val="24"/>
          <w:szCs w:val="24"/>
        </w:rPr>
        <w:t>围绕</w:t>
      </w:r>
      <w:r>
        <w:rPr>
          <w:rFonts w:ascii="宋体" w:hAnsi="宋体" w:eastAsia="宋体" w:cs="宋体"/>
          <w:sz w:val="24"/>
          <w:szCs w:val="24"/>
        </w:rPr>
        <w:t>东莞红色文化历史生成和分布特征、精神特质和价值意蕴、创新传播和活化利用，</w:t>
      </w:r>
      <w:r>
        <w:rPr>
          <w:rFonts w:hint="eastAsia" w:ascii="宋体" w:hAnsi="宋体" w:eastAsia="宋体" w:cs="宋体"/>
          <w:sz w:val="24"/>
          <w:szCs w:val="24"/>
        </w:rPr>
        <w:t>开展了一系列的研究活动，</w:t>
      </w:r>
      <w:r>
        <w:rPr>
          <w:rFonts w:ascii="宋体" w:hAnsi="宋体" w:eastAsia="宋体" w:cs="宋体"/>
          <w:sz w:val="24"/>
          <w:szCs w:val="24"/>
        </w:rPr>
        <w:t>在为东莞红色文化的传播和利用提供</w:t>
      </w:r>
      <w:r>
        <w:rPr>
          <w:rFonts w:hint="eastAsia" w:ascii="宋体" w:hAnsi="宋体" w:eastAsia="宋体" w:cs="宋体"/>
          <w:sz w:val="24"/>
          <w:szCs w:val="24"/>
        </w:rPr>
        <w:t>了</w:t>
      </w:r>
      <w:r>
        <w:rPr>
          <w:rFonts w:ascii="宋体" w:hAnsi="宋体" w:eastAsia="宋体" w:cs="宋体"/>
          <w:sz w:val="24"/>
          <w:szCs w:val="24"/>
        </w:rPr>
        <w:t>定制化、智能化解决方案</w:t>
      </w:r>
      <w:r>
        <w:rPr>
          <w:rFonts w:hint="eastAsia" w:ascii="宋体" w:hAnsi="宋体" w:eastAsia="宋体" w:cs="宋体"/>
          <w:sz w:val="24"/>
          <w:szCs w:val="24"/>
        </w:rPr>
        <w:t>，取得了较好的研究成果。现对研究中心2025年开展的主要工作及取得的成绩加以总结，并对2026年的工作进行计划和展望。</w:t>
      </w:r>
    </w:p>
    <w:p w14:paraId="7AAE6CD2">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一、2025年工作总结</w:t>
      </w:r>
    </w:p>
    <w:p w14:paraId="252AF716">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（一）科研成果情况</w:t>
      </w:r>
    </w:p>
    <w:p w14:paraId="40F42EA8">
      <w:pPr>
        <w:spacing w:line="360" w:lineRule="auto"/>
        <w:ind w:firstLine="480" w:firstLineChars="200"/>
        <w:rPr>
          <w:sz w:val="24"/>
          <w:szCs w:val="24"/>
        </w:rPr>
      </w:pPr>
      <w:r>
        <w:rPr>
          <w:rFonts w:hint="eastAsia"/>
          <w:sz w:val="24"/>
          <w:szCs w:val="24"/>
        </w:rPr>
        <w:t>研究中心在2025年取得了较为丰硕的成果，共发表学术论文1</w:t>
      </w:r>
      <w:r>
        <w:rPr>
          <w:rFonts w:hint="eastAsia"/>
          <w:sz w:val="24"/>
          <w:szCs w:val="24"/>
          <w:lang w:val="en-US" w:eastAsia="zh-CN"/>
        </w:rPr>
        <w:t>4</w:t>
      </w:r>
      <w:r>
        <w:rPr>
          <w:rFonts w:hint="eastAsia"/>
          <w:sz w:val="24"/>
          <w:szCs w:val="24"/>
        </w:rPr>
        <w:t>篇，其中CSSCI、北大核心期刊2篇，EI会议收录4篇，普刊</w:t>
      </w:r>
      <w:r>
        <w:rPr>
          <w:rFonts w:hint="eastAsia"/>
          <w:sz w:val="24"/>
          <w:szCs w:val="24"/>
          <w:lang w:val="en-US" w:eastAsia="zh-CN"/>
        </w:rPr>
        <w:t>6</w:t>
      </w:r>
      <w:r>
        <w:rPr>
          <w:rFonts w:hint="eastAsia"/>
          <w:sz w:val="24"/>
          <w:szCs w:val="24"/>
        </w:rPr>
        <w:t>篇（知网收录</w:t>
      </w:r>
      <w:r>
        <w:rPr>
          <w:rFonts w:hint="eastAsia"/>
          <w:sz w:val="24"/>
          <w:szCs w:val="24"/>
          <w:lang w:val="en-US" w:eastAsia="zh-CN"/>
        </w:rPr>
        <w:t>4</w:t>
      </w:r>
      <w:r>
        <w:rPr>
          <w:rFonts w:hint="eastAsia"/>
          <w:sz w:val="24"/>
          <w:szCs w:val="24"/>
        </w:rPr>
        <w:t>篇），本校学报1篇，学术著作1部，</w:t>
      </w:r>
      <w:r>
        <w:rPr>
          <w:sz w:val="24"/>
          <w:szCs w:val="24"/>
        </w:rPr>
        <w:t>决咨报告获得省部级及以上采纳</w:t>
      </w:r>
      <w:r>
        <w:rPr>
          <w:rFonts w:hint="eastAsia"/>
          <w:sz w:val="24"/>
          <w:szCs w:val="24"/>
        </w:rPr>
        <w:t>1篇。</w:t>
      </w:r>
    </w:p>
    <w:p w14:paraId="76ED55C7">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1.学术论文</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1296"/>
        <w:gridCol w:w="1398"/>
        <w:gridCol w:w="992"/>
        <w:gridCol w:w="1276"/>
        <w:gridCol w:w="617"/>
      </w:tblGrid>
      <w:tr w14:paraId="3DFE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21D74A60">
            <w:pPr>
              <w:spacing w:line="360" w:lineRule="auto"/>
              <w:jc w:val="center"/>
              <w:rPr>
                <w:rFonts w:ascii="黑体" w:hAnsi="黑体" w:eastAsia="黑体" w:cs="黑体"/>
                <w:sz w:val="20"/>
                <w:szCs w:val="20"/>
              </w:rPr>
            </w:pPr>
            <w:r>
              <w:rPr>
                <w:rFonts w:hint="eastAsia" w:ascii="黑体" w:hAnsi="黑体" w:eastAsia="黑体" w:cs="黑体"/>
                <w:sz w:val="20"/>
                <w:szCs w:val="20"/>
              </w:rPr>
              <w:t>论文名称</w:t>
            </w:r>
          </w:p>
        </w:tc>
        <w:tc>
          <w:tcPr>
            <w:tcW w:w="1296" w:type="dxa"/>
            <w:vAlign w:val="center"/>
          </w:tcPr>
          <w:p w14:paraId="568CE18E">
            <w:pPr>
              <w:spacing w:line="360" w:lineRule="auto"/>
              <w:jc w:val="center"/>
              <w:rPr>
                <w:rFonts w:ascii="黑体" w:hAnsi="黑体" w:eastAsia="黑体" w:cs="黑体"/>
                <w:sz w:val="20"/>
                <w:szCs w:val="20"/>
              </w:rPr>
            </w:pPr>
            <w:r>
              <w:rPr>
                <w:rFonts w:hint="eastAsia" w:ascii="黑体" w:hAnsi="黑体" w:eastAsia="黑体" w:cs="黑体"/>
                <w:sz w:val="20"/>
                <w:szCs w:val="20"/>
              </w:rPr>
              <w:t>期刊名称</w:t>
            </w:r>
          </w:p>
        </w:tc>
        <w:tc>
          <w:tcPr>
            <w:tcW w:w="1398" w:type="dxa"/>
            <w:vAlign w:val="center"/>
          </w:tcPr>
          <w:p w14:paraId="55B031BD">
            <w:pPr>
              <w:spacing w:line="360" w:lineRule="auto"/>
              <w:jc w:val="center"/>
              <w:rPr>
                <w:rFonts w:ascii="黑体" w:hAnsi="黑体" w:eastAsia="黑体" w:cs="黑体"/>
                <w:sz w:val="20"/>
                <w:szCs w:val="20"/>
              </w:rPr>
            </w:pPr>
            <w:r>
              <w:rPr>
                <w:rFonts w:hint="eastAsia" w:ascii="黑体" w:hAnsi="黑体" w:eastAsia="黑体" w:cs="黑体"/>
                <w:sz w:val="20"/>
                <w:szCs w:val="20"/>
              </w:rPr>
              <w:t>发表</w:t>
            </w:r>
          </w:p>
          <w:p w14:paraId="432C1729">
            <w:pPr>
              <w:spacing w:line="360" w:lineRule="auto"/>
              <w:jc w:val="center"/>
              <w:rPr>
                <w:rFonts w:ascii="黑体" w:hAnsi="黑体" w:eastAsia="黑体" w:cs="黑体"/>
                <w:sz w:val="20"/>
                <w:szCs w:val="20"/>
              </w:rPr>
            </w:pPr>
            <w:r>
              <w:rPr>
                <w:rFonts w:hint="eastAsia" w:ascii="黑体" w:hAnsi="黑体" w:eastAsia="黑体" w:cs="黑体"/>
                <w:sz w:val="20"/>
                <w:szCs w:val="20"/>
              </w:rPr>
              <w:t>时间</w:t>
            </w:r>
          </w:p>
        </w:tc>
        <w:tc>
          <w:tcPr>
            <w:tcW w:w="992" w:type="dxa"/>
            <w:vAlign w:val="center"/>
          </w:tcPr>
          <w:p w14:paraId="64CA9DF5">
            <w:pPr>
              <w:spacing w:line="360" w:lineRule="auto"/>
              <w:jc w:val="center"/>
              <w:rPr>
                <w:rFonts w:ascii="黑体" w:hAnsi="黑体" w:eastAsia="黑体" w:cs="黑体"/>
                <w:sz w:val="20"/>
                <w:szCs w:val="20"/>
              </w:rPr>
            </w:pPr>
            <w:r>
              <w:rPr>
                <w:rFonts w:hint="eastAsia" w:ascii="黑体" w:hAnsi="黑体" w:eastAsia="黑体" w:cs="黑体"/>
                <w:sz w:val="20"/>
                <w:szCs w:val="20"/>
              </w:rPr>
              <w:t>作者</w:t>
            </w:r>
          </w:p>
        </w:tc>
        <w:tc>
          <w:tcPr>
            <w:tcW w:w="1276" w:type="dxa"/>
            <w:vAlign w:val="center"/>
          </w:tcPr>
          <w:p w14:paraId="16B6EB05">
            <w:pPr>
              <w:spacing w:line="360" w:lineRule="auto"/>
              <w:jc w:val="center"/>
              <w:rPr>
                <w:rFonts w:ascii="黑体" w:hAnsi="黑体" w:eastAsia="黑体" w:cs="黑体"/>
                <w:sz w:val="20"/>
                <w:szCs w:val="20"/>
              </w:rPr>
            </w:pPr>
            <w:r>
              <w:rPr>
                <w:rFonts w:hint="eastAsia" w:ascii="黑体" w:hAnsi="黑体" w:eastAsia="黑体" w:cs="黑体"/>
                <w:sz w:val="20"/>
                <w:szCs w:val="20"/>
              </w:rPr>
              <w:t>论文类别</w:t>
            </w:r>
          </w:p>
        </w:tc>
        <w:tc>
          <w:tcPr>
            <w:tcW w:w="617" w:type="dxa"/>
            <w:vAlign w:val="center"/>
          </w:tcPr>
          <w:p w14:paraId="549B2D5A">
            <w:pPr>
              <w:spacing w:line="360" w:lineRule="auto"/>
              <w:jc w:val="center"/>
              <w:rPr>
                <w:rFonts w:ascii="黑体" w:hAnsi="黑体" w:eastAsia="黑体" w:cs="黑体"/>
                <w:sz w:val="20"/>
                <w:szCs w:val="20"/>
              </w:rPr>
            </w:pPr>
            <w:r>
              <w:rPr>
                <w:rFonts w:hint="eastAsia" w:ascii="黑体" w:hAnsi="黑体" w:eastAsia="黑体" w:cs="黑体"/>
                <w:sz w:val="20"/>
                <w:szCs w:val="20"/>
              </w:rPr>
              <w:t>备注</w:t>
            </w:r>
          </w:p>
        </w:tc>
      </w:tr>
      <w:tr w14:paraId="07A2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39B95989">
            <w:pPr>
              <w:widowControl/>
              <w:jc w:val="center"/>
              <w:rPr>
                <w:rFonts w:ascii="Arial" w:hAnsi="Arial" w:eastAsia="宋体" w:cs="Arial"/>
                <w:kern w:val="0"/>
                <w:sz w:val="20"/>
                <w:szCs w:val="20"/>
              </w:rPr>
            </w:pPr>
            <w:r>
              <w:rPr>
                <w:rFonts w:ascii="Arial" w:hAnsi="Arial" w:cs="Arial"/>
                <w:sz w:val="20"/>
                <w:szCs w:val="20"/>
              </w:rPr>
              <w:t>东莞红色文化资源在高校思政课教学中的应用</w:t>
            </w:r>
          </w:p>
        </w:tc>
        <w:tc>
          <w:tcPr>
            <w:tcW w:w="1296" w:type="dxa"/>
            <w:vAlign w:val="center"/>
          </w:tcPr>
          <w:p w14:paraId="2CA6D8AE">
            <w:pPr>
              <w:widowControl/>
              <w:jc w:val="center"/>
              <w:rPr>
                <w:rFonts w:ascii="Arial" w:hAnsi="Arial" w:eastAsia="宋体" w:cs="Arial"/>
                <w:kern w:val="0"/>
                <w:sz w:val="20"/>
                <w:szCs w:val="20"/>
              </w:rPr>
            </w:pPr>
            <w:r>
              <w:rPr>
                <w:rFonts w:ascii="Arial" w:hAnsi="Arial" w:cs="Arial"/>
                <w:sz w:val="20"/>
                <w:szCs w:val="20"/>
              </w:rPr>
              <w:t>高教发展与评估</w:t>
            </w:r>
          </w:p>
        </w:tc>
        <w:tc>
          <w:tcPr>
            <w:tcW w:w="1398" w:type="dxa"/>
            <w:vAlign w:val="center"/>
          </w:tcPr>
          <w:p w14:paraId="682F9121">
            <w:pPr>
              <w:spacing w:line="360" w:lineRule="auto"/>
              <w:jc w:val="center"/>
              <w:rPr>
                <w:rFonts w:ascii="宋体" w:hAnsi="宋体" w:cs="宋体"/>
                <w:sz w:val="20"/>
                <w:szCs w:val="20"/>
              </w:rPr>
            </w:pPr>
            <w:r>
              <w:rPr>
                <w:rFonts w:ascii="宋体" w:hAnsi="宋体" w:cs="宋体"/>
                <w:sz w:val="20"/>
                <w:szCs w:val="20"/>
              </w:rPr>
              <w:t>2025-11-30</w:t>
            </w:r>
          </w:p>
        </w:tc>
        <w:tc>
          <w:tcPr>
            <w:tcW w:w="992" w:type="dxa"/>
            <w:vAlign w:val="center"/>
          </w:tcPr>
          <w:p w14:paraId="7AB12ABF">
            <w:pPr>
              <w:spacing w:line="360" w:lineRule="auto"/>
              <w:jc w:val="center"/>
              <w:rPr>
                <w:rFonts w:ascii="宋体" w:hAnsi="宋体" w:cs="宋体"/>
                <w:sz w:val="20"/>
                <w:szCs w:val="20"/>
              </w:rPr>
            </w:pPr>
            <w:r>
              <w:rPr>
                <w:rFonts w:ascii="宋体" w:hAnsi="宋体" w:cs="宋体"/>
                <w:sz w:val="20"/>
                <w:szCs w:val="20"/>
              </w:rPr>
              <w:t>赵珈艺</w:t>
            </w:r>
          </w:p>
        </w:tc>
        <w:tc>
          <w:tcPr>
            <w:tcW w:w="1276" w:type="dxa"/>
            <w:vAlign w:val="center"/>
          </w:tcPr>
          <w:p w14:paraId="39022B23">
            <w:pPr>
              <w:spacing w:line="360" w:lineRule="auto"/>
              <w:jc w:val="center"/>
              <w:rPr>
                <w:rFonts w:ascii="宋体" w:hAnsi="宋体" w:cs="宋体"/>
                <w:sz w:val="20"/>
                <w:szCs w:val="20"/>
              </w:rPr>
            </w:pPr>
            <w:r>
              <w:rPr>
                <w:rFonts w:hint="eastAsia" w:ascii="宋体" w:hAnsi="宋体" w:cs="宋体"/>
                <w:sz w:val="20"/>
                <w:szCs w:val="20"/>
              </w:rPr>
              <w:t>CSSCI、北大核心期刊</w:t>
            </w:r>
          </w:p>
        </w:tc>
        <w:tc>
          <w:tcPr>
            <w:tcW w:w="617" w:type="dxa"/>
            <w:vAlign w:val="center"/>
          </w:tcPr>
          <w:p w14:paraId="4B60B8EE">
            <w:pPr>
              <w:spacing w:line="360" w:lineRule="auto"/>
              <w:jc w:val="center"/>
              <w:rPr>
                <w:rFonts w:ascii="宋体" w:hAnsi="宋体" w:cs="宋体"/>
                <w:sz w:val="20"/>
                <w:szCs w:val="20"/>
              </w:rPr>
            </w:pPr>
          </w:p>
        </w:tc>
      </w:tr>
      <w:tr w14:paraId="77FD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65E480CA">
            <w:pPr>
              <w:spacing w:line="360" w:lineRule="auto"/>
              <w:jc w:val="center"/>
              <w:rPr>
                <w:rFonts w:ascii="宋体" w:hAnsi="宋体" w:cs="宋体"/>
                <w:bCs/>
                <w:sz w:val="20"/>
                <w:szCs w:val="20"/>
              </w:rPr>
            </w:pPr>
            <w:r>
              <w:rPr>
                <w:rFonts w:ascii="宋体" w:hAnsi="宋体" w:cs="宋体"/>
                <w:bCs/>
                <w:sz w:val="20"/>
                <w:szCs w:val="20"/>
              </w:rPr>
              <w:t>红色资源融入大中小学思政课一体化建设的逻辑进路</w:t>
            </w:r>
          </w:p>
        </w:tc>
        <w:tc>
          <w:tcPr>
            <w:tcW w:w="1296" w:type="dxa"/>
            <w:vAlign w:val="center"/>
          </w:tcPr>
          <w:p w14:paraId="4A443A8E">
            <w:pPr>
              <w:spacing w:line="360" w:lineRule="auto"/>
              <w:jc w:val="center"/>
              <w:rPr>
                <w:rFonts w:ascii="宋体" w:hAnsi="宋体" w:cs="宋体"/>
                <w:bCs/>
                <w:sz w:val="20"/>
                <w:szCs w:val="20"/>
              </w:rPr>
            </w:pPr>
            <w:r>
              <w:rPr>
                <w:rFonts w:ascii="宋体" w:hAnsi="宋体" w:cs="宋体"/>
                <w:bCs/>
                <w:sz w:val="20"/>
                <w:szCs w:val="20"/>
              </w:rPr>
              <w:t>学校党建与思想教育</w:t>
            </w:r>
          </w:p>
        </w:tc>
        <w:tc>
          <w:tcPr>
            <w:tcW w:w="1398" w:type="dxa"/>
            <w:vAlign w:val="center"/>
          </w:tcPr>
          <w:p w14:paraId="08688CDE">
            <w:pPr>
              <w:spacing w:line="360" w:lineRule="auto"/>
              <w:jc w:val="center"/>
              <w:rPr>
                <w:rFonts w:ascii="宋体" w:hAnsi="宋体" w:cs="宋体"/>
                <w:bCs/>
                <w:sz w:val="20"/>
                <w:szCs w:val="20"/>
              </w:rPr>
            </w:pPr>
            <w:r>
              <w:rPr>
                <w:rFonts w:ascii="宋体" w:hAnsi="宋体" w:cs="宋体"/>
                <w:bCs/>
                <w:sz w:val="20"/>
                <w:szCs w:val="20"/>
              </w:rPr>
              <w:t>2025-09-23</w:t>
            </w:r>
          </w:p>
        </w:tc>
        <w:tc>
          <w:tcPr>
            <w:tcW w:w="992" w:type="dxa"/>
            <w:vAlign w:val="center"/>
          </w:tcPr>
          <w:p w14:paraId="11BEC9E8">
            <w:pPr>
              <w:spacing w:line="360" w:lineRule="auto"/>
              <w:jc w:val="center"/>
              <w:rPr>
                <w:rFonts w:ascii="宋体" w:hAnsi="宋体" w:cs="宋体"/>
                <w:sz w:val="20"/>
                <w:szCs w:val="20"/>
              </w:rPr>
            </w:pPr>
            <w:r>
              <w:rPr>
                <w:rFonts w:ascii="宋体" w:hAnsi="宋体" w:cs="宋体"/>
                <w:sz w:val="20"/>
                <w:szCs w:val="20"/>
              </w:rPr>
              <w:t>王奕衡</w:t>
            </w:r>
            <w:r>
              <w:rPr>
                <w:rFonts w:hint="eastAsia" w:ascii="宋体" w:hAnsi="宋体" w:cs="宋体"/>
                <w:sz w:val="20"/>
                <w:szCs w:val="20"/>
              </w:rPr>
              <w:t>，</w:t>
            </w:r>
            <w:r>
              <w:rPr>
                <w:rFonts w:ascii="宋体" w:hAnsi="宋体" w:cs="宋体"/>
                <w:sz w:val="20"/>
                <w:szCs w:val="20"/>
              </w:rPr>
              <w:t>胡国胜</w:t>
            </w:r>
          </w:p>
        </w:tc>
        <w:tc>
          <w:tcPr>
            <w:tcW w:w="1276" w:type="dxa"/>
            <w:vAlign w:val="center"/>
          </w:tcPr>
          <w:p w14:paraId="06033B2E">
            <w:pPr>
              <w:spacing w:line="360" w:lineRule="auto"/>
              <w:jc w:val="center"/>
              <w:rPr>
                <w:rFonts w:ascii="宋体" w:hAnsi="宋体" w:cs="宋体"/>
                <w:sz w:val="20"/>
                <w:szCs w:val="20"/>
              </w:rPr>
            </w:pPr>
            <w:r>
              <w:rPr>
                <w:rFonts w:hint="eastAsia" w:ascii="宋体" w:hAnsi="宋体" w:cs="宋体"/>
                <w:sz w:val="20"/>
                <w:szCs w:val="20"/>
              </w:rPr>
              <w:t>CSSCI、北大核心期刊</w:t>
            </w:r>
          </w:p>
        </w:tc>
        <w:tc>
          <w:tcPr>
            <w:tcW w:w="617" w:type="dxa"/>
            <w:vAlign w:val="center"/>
          </w:tcPr>
          <w:p w14:paraId="63D194C6">
            <w:pPr>
              <w:spacing w:line="360" w:lineRule="auto"/>
              <w:jc w:val="center"/>
              <w:rPr>
                <w:rFonts w:ascii="宋体" w:hAnsi="宋体" w:cs="宋体"/>
                <w:sz w:val="20"/>
                <w:szCs w:val="20"/>
              </w:rPr>
            </w:pPr>
          </w:p>
        </w:tc>
      </w:tr>
      <w:tr w14:paraId="6D22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14FCA478">
            <w:pPr>
              <w:spacing w:line="360" w:lineRule="auto"/>
              <w:jc w:val="center"/>
              <w:rPr>
                <w:rFonts w:hint="default" w:ascii="宋体" w:hAnsi="宋体" w:cs="宋体" w:eastAsiaTheme="minorEastAsia"/>
                <w:bCs/>
                <w:sz w:val="20"/>
                <w:szCs w:val="20"/>
                <w:lang w:val="en-US" w:eastAsia="zh-CN"/>
              </w:rPr>
            </w:pPr>
            <w:r>
              <w:rPr>
                <w:rFonts w:hint="eastAsia" w:ascii="宋体" w:hAnsi="宋体" w:cs="宋体"/>
                <w:bCs/>
                <w:sz w:val="20"/>
                <w:szCs w:val="20"/>
                <w:lang w:val="en-US" w:eastAsia="zh-CN"/>
              </w:rPr>
              <w:t>用党的二十届四中全会精神引领青年学生成长</w:t>
            </w:r>
          </w:p>
        </w:tc>
        <w:tc>
          <w:tcPr>
            <w:tcW w:w="1296" w:type="dxa"/>
            <w:vAlign w:val="center"/>
          </w:tcPr>
          <w:p w14:paraId="6D5D3BC9">
            <w:pPr>
              <w:spacing w:line="360" w:lineRule="auto"/>
              <w:jc w:val="center"/>
              <w:rPr>
                <w:rFonts w:hint="default" w:ascii="宋体" w:hAnsi="宋体" w:cs="宋体" w:eastAsiaTheme="minorEastAsia"/>
                <w:bCs/>
                <w:sz w:val="20"/>
                <w:szCs w:val="20"/>
                <w:lang w:val="en-US" w:eastAsia="zh-CN"/>
              </w:rPr>
            </w:pPr>
            <w:r>
              <w:rPr>
                <w:rFonts w:hint="eastAsia" w:ascii="宋体" w:hAnsi="宋体" w:cs="宋体"/>
                <w:bCs/>
                <w:sz w:val="20"/>
                <w:szCs w:val="20"/>
                <w:lang w:val="en-US" w:eastAsia="zh-CN"/>
              </w:rPr>
              <w:t>东莞日报</w:t>
            </w:r>
          </w:p>
        </w:tc>
        <w:tc>
          <w:tcPr>
            <w:tcW w:w="1398" w:type="dxa"/>
            <w:vAlign w:val="center"/>
          </w:tcPr>
          <w:p w14:paraId="3607CF90">
            <w:pPr>
              <w:spacing w:line="360" w:lineRule="auto"/>
              <w:jc w:val="center"/>
              <w:rPr>
                <w:rFonts w:hint="default" w:ascii="宋体" w:hAnsi="宋体" w:cs="宋体" w:eastAsiaTheme="minorEastAsia"/>
                <w:bCs/>
                <w:sz w:val="20"/>
                <w:szCs w:val="20"/>
                <w:lang w:val="en-US" w:eastAsia="zh-CN"/>
              </w:rPr>
            </w:pPr>
            <w:r>
              <w:rPr>
                <w:rFonts w:hint="eastAsia" w:ascii="宋体" w:hAnsi="宋体" w:cs="宋体"/>
                <w:bCs/>
                <w:sz w:val="20"/>
                <w:szCs w:val="20"/>
                <w:lang w:val="en-US" w:eastAsia="zh-CN"/>
              </w:rPr>
              <w:t>2025-11-02</w:t>
            </w:r>
          </w:p>
        </w:tc>
        <w:tc>
          <w:tcPr>
            <w:tcW w:w="992" w:type="dxa"/>
            <w:vAlign w:val="center"/>
          </w:tcPr>
          <w:p w14:paraId="5CA98286">
            <w:pPr>
              <w:spacing w:line="360" w:lineRule="auto"/>
              <w:jc w:val="center"/>
              <w:rPr>
                <w:rFonts w:hint="eastAsia" w:ascii="宋体" w:hAnsi="宋体" w:cs="宋体" w:eastAsiaTheme="minorEastAsia"/>
                <w:sz w:val="20"/>
                <w:szCs w:val="20"/>
                <w:lang w:val="en-US" w:eastAsia="zh-CN"/>
              </w:rPr>
            </w:pPr>
            <w:r>
              <w:rPr>
                <w:rFonts w:hint="eastAsia" w:ascii="宋体" w:hAnsi="宋体" w:cs="宋体"/>
                <w:sz w:val="20"/>
                <w:szCs w:val="20"/>
                <w:lang w:val="en-US" w:eastAsia="zh-CN"/>
              </w:rPr>
              <w:t>罗明星</w:t>
            </w:r>
          </w:p>
        </w:tc>
        <w:tc>
          <w:tcPr>
            <w:tcW w:w="1276" w:type="dxa"/>
            <w:vAlign w:val="center"/>
          </w:tcPr>
          <w:p w14:paraId="775F564E">
            <w:pPr>
              <w:spacing w:line="360" w:lineRule="auto"/>
              <w:jc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党报党刊理论版</w:t>
            </w:r>
          </w:p>
        </w:tc>
        <w:tc>
          <w:tcPr>
            <w:tcW w:w="617" w:type="dxa"/>
            <w:vAlign w:val="center"/>
          </w:tcPr>
          <w:p w14:paraId="23F4C424">
            <w:pPr>
              <w:spacing w:line="360" w:lineRule="auto"/>
              <w:jc w:val="center"/>
              <w:rPr>
                <w:rFonts w:ascii="宋体" w:hAnsi="宋体" w:cs="宋体"/>
                <w:sz w:val="20"/>
                <w:szCs w:val="20"/>
              </w:rPr>
            </w:pPr>
          </w:p>
        </w:tc>
      </w:tr>
      <w:tr w14:paraId="339F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766072CC">
            <w:pPr>
              <w:spacing w:line="360" w:lineRule="auto"/>
              <w:jc w:val="center"/>
              <w:rPr>
                <w:rFonts w:hint="eastAsia" w:ascii="宋体" w:hAnsi="宋体" w:cs="宋体"/>
                <w:bCs/>
                <w:sz w:val="20"/>
                <w:szCs w:val="20"/>
                <w:lang w:val="en-US" w:eastAsia="zh-CN"/>
              </w:rPr>
            </w:pPr>
            <w:r>
              <w:rPr>
                <w:rFonts w:hint="eastAsia" w:ascii="宋体" w:hAnsi="宋体" w:cs="宋体"/>
                <w:bCs/>
                <w:sz w:val="20"/>
                <w:szCs w:val="20"/>
                <w:lang w:val="en-US" w:eastAsia="zh-CN"/>
              </w:rPr>
              <w:t>习近平文化思想的理论渊源、科学内涵和突出特征</w:t>
            </w:r>
          </w:p>
        </w:tc>
        <w:tc>
          <w:tcPr>
            <w:tcW w:w="1296" w:type="dxa"/>
            <w:vAlign w:val="center"/>
          </w:tcPr>
          <w:p w14:paraId="11FE04CF">
            <w:pPr>
              <w:spacing w:line="360" w:lineRule="auto"/>
              <w:jc w:val="center"/>
              <w:rPr>
                <w:rFonts w:hint="default" w:ascii="宋体" w:hAnsi="宋体" w:cs="宋体"/>
                <w:bCs/>
                <w:sz w:val="20"/>
                <w:szCs w:val="20"/>
                <w:lang w:val="en-US" w:eastAsia="zh-CN"/>
              </w:rPr>
            </w:pPr>
            <w:r>
              <w:rPr>
                <w:rFonts w:hint="eastAsia" w:ascii="宋体" w:hAnsi="宋体" w:cs="宋体"/>
                <w:bCs/>
                <w:sz w:val="20"/>
                <w:szCs w:val="20"/>
                <w:lang w:val="en-US" w:eastAsia="zh-CN"/>
              </w:rPr>
              <w:t>中学政治教学参考</w:t>
            </w:r>
          </w:p>
        </w:tc>
        <w:tc>
          <w:tcPr>
            <w:tcW w:w="1398" w:type="dxa"/>
            <w:vAlign w:val="center"/>
          </w:tcPr>
          <w:p w14:paraId="0145E918">
            <w:pPr>
              <w:spacing w:line="360" w:lineRule="auto"/>
              <w:jc w:val="center"/>
              <w:rPr>
                <w:rFonts w:hint="default" w:ascii="宋体" w:hAnsi="宋体" w:cs="宋体"/>
                <w:bCs/>
                <w:sz w:val="20"/>
                <w:szCs w:val="20"/>
                <w:lang w:val="en-US" w:eastAsia="zh-CN"/>
              </w:rPr>
            </w:pPr>
            <w:r>
              <w:rPr>
                <w:rFonts w:hint="eastAsia" w:ascii="宋体" w:hAnsi="宋体" w:cs="宋体"/>
                <w:bCs/>
                <w:sz w:val="20"/>
                <w:szCs w:val="20"/>
                <w:lang w:val="en-US" w:eastAsia="zh-CN"/>
              </w:rPr>
              <w:t>2024-06-20</w:t>
            </w:r>
          </w:p>
        </w:tc>
        <w:tc>
          <w:tcPr>
            <w:tcW w:w="992" w:type="dxa"/>
            <w:vAlign w:val="center"/>
          </w:tcPr>
          <w:p w14:paraId="0E584DD3">
            <w:pPr>
              <w:spacing w:line="360" w:lineRule="auto"/>
              <w:jc w:val="center"/>
              <w:rPr>
                <w:rFonts w:hint="default" w:ascii="宋体" w:hAnsi="宋体" w:cs="宋体"/>
                <w:sz w:val="20"/>
                <w:szCs w:val="20"/>
                <w:lang w:val="en-US" w:eastAsia="zh-CN"/>
              </w:rPr>
            </w:pPr>
            <w:r>
              <w:rPr>
                <w:rFonts w:hint="eastAsia" w:ascii="宋体" w:hAnsi="宋体" w:cs="宋体"/>
                <w:sz w:val="20"/>
                <w:szCs w:val="20"/>
                <w:lang w:val="en-US" w:eastAsia="zh-CN"/>
              </w:rPr>
              <w:t>王斌</w:t>
            </w:r>
          </w:p>
        </w:tc>
        <w:tc>
          <w:tcPr>
            <w:tcW w:w="1276" w:type="dxa"/>
            <w:vAlign w:val="center"/>
          </w:tcPr>
          <w:p w14:paraId="2EE8078C">
            <w:pPr>
              <w:spacing w:line="360" w:lineRule="auto"/>
              <w:jc w:val="center"/>
              <w:rPr>
                <w:rFonts w:hint="eastAsia" w:ascii="宋体" w:hAnsi="宋体" w:cs="宋体"/>
                <w:sz w:val="20"/>
                <w:szCs w:val="20"/>
                <w:lang w:val="en-US" w:eastAsia="zh-CN"/>
              </w:rPr>
            </w:pPr>
            <w:r>
              <w:rPr>
                <w:rFonts w:hint="eastAsia" w:ascii="宋体" w:hAnsi="宋体" w:cs="宋体"/>
                <w:sz w:val="20"/>
                <w:szCs w:val="20"/>
              </w:rPr>
              <w:t>普刊（知网收录）</w:t>
            </w:r>
          </w:p>
        </w:tc>
        <w:tc>
          <w:tcPr>
            <w:tcW w:w="617" w:type="dxa"/>
            <w:vAlign w:val="center"/>
          </w:tcPr>
          <w:p w14:paraId="2161F864">
            <w:pPr>
              <w:spacing w:line="360" w:lineRule="auto"/>
              <w:jc w:val="center"/>
              <w:rPr>
                <w:rFonts w:ascii="宋体" w:hAnsi="宋体" w:cs="宋体"/>
                <w:sz w:val="20"/>
                <w:szCs w:val="20"/>
              </w:rPr>
            </w:pPr>
          </w:p>
        </w:tc>
      </w:tr>
      <w:tr w14:paraId="5B4B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3F113778">
            <w:pPr>
              <w:spacing w:line="360" w:lineRule="auto"/>
              <w:jc w:val="center"/>
              <w:rPr>
                <w:rFonts w:hint="eastAsia" w:ascii="宋体" w:hAnsi="宋体" w:cs="宋体"/>
                <w:bCs/>
                <w:sz w:val="20"/>
                <w:szCs w:val="20"/>
                <w:lang w:val="en-US" w:eastAsia="zh-CN"/>
              </w:rPr>
            </w:pPr>
            <w:r>
              <w:rPr>
                <w:rFonts w:hint="eastAsia" w:ascii="宋体" w:hAnsi="宋体" w:cs="宋体"/>
                <w:bCs/>
                <w:sz w:val="20"/>
                <w:szCs w:val="20"/>
                <w:lang w:val="en-US" w:eastAsia="zh-CN"/>
              </w:rPr>
              <w:t>完善党的自我革命制度规范体系的价值向度、内涵要义及实践要求</w:t>
            </w:r>
          </w:p>
        </w:tc>
        <w:tc>
          <w:tcPr>
            <w:tcW w:w="1296" w:type="dxa"/>
            <w:vAlign w:val="center"/>
          </w:tcPr>
          <w:p w14:paraId="4E11AAA7">
            <w:pPr>
              <w:spacing w:line="360" w:lineRule="auto"/>
              <w:jc w:val="center"/>
              <w:rPr>
                <w:rFonts w:hint="default" w:ascii="宋体" w:hAnsi="宋体" w:cs="宋体"/>
                <w:bCs/>
                <w:sz w:val="20"/>
                <w:szCs w:val="20"/>
                <w:lang w:val="en-US" w:eastAsia="zh-CN"/>
              </w:rPr>
            </w:pPr>
            <w:r>
              <w:rPr>
                <w:rFonts w:hint="eastAsia" w:ascii="宋体" w:hAnsi="宋体" w:cs="宋体"/>
                <w:bCs/>
                <w:sz w:val="20"/>
                <w:szCs w:val="20"/>
                <w:lang w:val="en-US" w:eastAsia="zh-CN"/>
              </w:rPr>
              <w:t>学理论</w:t>
            </w:r>
          </w:p>
        </w:tc>
        <w:tc>
          <w:tcPr>
            <w:tcW w:w="1398" w:type="dxa"/>
            <w:vAlign w:val="center"/>
          </w:tcPr>
          <w:p w14:paraId="24C6ADB9">
            <w:pPr>
              <w:spacing w:line="360" w:lineRule="auto"/>
              <w:jc w:val="center"/>
              <w:rPr>
                <w:rFonts w:hint="default" w:ascii="宋体" w:hAnsi="宋体" w:cs="宋体"/>
                <w:bCs/>
                <w:sz w:val="20"/>
                <w:szCs w:val="20"/>
                <w:lang w:val="en-US" w:eastAsia="zh-CN"/>
              </w:rPr>
            </w:pPr>
            <w:r>
              <w:rPr>
                <w:rFonts w:hint="eastAsia" w:ascii="宋体" w:hAnsi="宋体" w:cs="宋体"/>
                <w:bCs/>
                <w:sz w:val="20"/>
                <w:szCs w:val="20"/>
                <w:lang w:val="en-US" w:eastAsia="zh-CN"/>
              </w:rPr>
              <w:t>2025-06-20</w:t>
            </w:r>
          </w:p>
        </w:tc>
        <w:tc>
          <w:tcPr>
            <w:tcW w:w="992" w:type="dxa"/>
            <w:vAlign w:val="center"/>
          </w:tcPr>
          <w:p w14:paraId="19C446A5">
            <w:pPr>
              <w:spacing w:line="360" w:lineRule="auto"/>
              <w:jc w:val="center"/>
              <w:rPr>
                <w:rFonts w:hint="default" w:ascii="宋体" w:hAnsi="宋体" w:cs="宋体"/>
                <w:sz w:val="20"/>
                <w:szCs w:val="20"/>
                <w:lang w:val="en-US" w:eastAsia="zh-CN"/>
              </w:rPr>
            </w:pPr>
            <w:r>
              <w:rPr>
                <w:rFonts w:hint="eastAsia" w:ascii="宋体" w:hAnsi="宋体" w:cs="宋体"/>
                <w:sz w:val="20"/>
                <w:szCs w:val="20"/>
                <w:lang w:val="en-US" w:eastAsia="zh-CN"/>
              </w:rPr>
              <w:t>王斌</w:t>
            </w:r>
          </w:p>
        </w:tc>
        <w:tc>
          <w:tcPr>
            <w:tcW w:w="1276" w:type="dxa"/>
            <w:vAlign w:val="center"/>
          </w:tcPr>
          <w:p w14:paraId="5234FC2E">
            <w:pPr>
              <w:spacing w:line="360" w:lineRule="auto"/>
              <w:jc w:val="center"/>
              <w:rPr>
                <w:rFonts w:hint="eastAsia" w:ascii="宋体" w:hAnsi="宋体" w:cs="宋体"/>
                <w:sz w:val="20"/>
                <w:szCs w:val="20"/>
              </w:rPr>
            </w:pPr>
            <w:r>
              <w:rPr>
                <w:rFonts w:hint="eastAsia" w:ascii="宋体" w:hAnsi="宋体" w:cs="宋体"/>
                <w:sz w:val="20"/>
                <w:szCs w:val="20"/>
              </w:rPr>
              <w:t>普刊（知网收录）</w:t>
            </w:r>
          </w:p>
        </w:tc>
        <w:tc>
          <w:tcPr>
            <w:tcW w:w="617" w:type="dxa"/>
            <w:vAlign w:val="center"/>
          </w:tcPr>
          <w:p w14:paraId="13BE4C8E">
            <w:pPr>
              <w:spacing w:line="360" w:lineRule="auto"/>
              <w:jc w:val="center"/>
              <w:rPr>
                <w:rFonts w:ascii="宋体" w:hAnsi="宋体" w:cs="宋体"/>
                <w:sz w:val="20"/>
                <w:szCs w:val="20"/>
              </w:rPr>
            </w:pPr>
          </w:p>
        </w:tc>
      </w:tr>
      <w:tr w14:paraId="7D1B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74F7855C">
            <w:pPr>
              <w:spacing w:line="360" w:lineRule="auto"/>
              <w:jc w:val="center"/>
              <w:rPr>
                <w:rFonts w:ascii="宋体" w:hAnsi="宋体" w:cs="宋体"/>
                <w:sz w:val="20"/>
                <w:szCs w:val="20"/>
              </w:rPr>
            </w:pPr>
            <w:r>
              <w:rPr>
                <w:rFonts w:ascii="宋体" w:hAnsi="宋体" w:cs="宋体"/>
                <w:sz w:val="20"/>
                <w:szCs w:val="20"/>
              </w:rPr>
              <w:t>东莞红色文化融入高校思政课教学的实践路径研究</w:t>
            </w:r>
          </w:p>
        </w:tc>
        <w:tc>
          <w:tcPr>
            <w:tcW w:w="1296" w:type="dxa"/>
            <w:vAlign w:val="center"/>
          </w:tcPr>
          <w:p w14:paraId="56AD8258">
            <w:pPr>
              <w:spacing w:line="360" w:lineRule="auto"/>
              <w:jc w:val="center"/>
              <w:rPr>
                <w:rFonts w:ascii="宋体" w:hAnsi="宋体" w:cs="宋体"/>
                <w:sz w:val="20"/>
                <w:szCs w:val="20"/>
              </w:rPr>
            </w:pPr>
            <w:r>
              <w:rPr>
                <w:rFonts w:ascii="宋体" w:hAnsi="宋体" w:cs="宋体"/>
                <w:sz w:val="20"/>
                <w:szCs w:val="20"/>
              </w:rPr>
              <w:t>时代青年</w:t>
            </w:r>
          </w:p>
        </w:tc>
        <w:tc>
          <w:tcPr>
            <w:tcW w:w="1398" w:type="dxa"/>
            <w:vAlign w:val="center"/>
          </w:tcPr>
          <w:p w14:paraId="03CD25ED">
            <w:pPr>
              <w:spacing w:line="360" w:lineRule="auto"/>
              <w:jc w:val="center"/>
              <w:rPr>
                <w:rFonts w:ascii="宋体" w:hAnsi="宋体" w:cs="宋体"/>
                <w:sz w:val="20"/>
                <w:szCs w:val="20"/>
              </w:rPr>
            </w:pPr>
            <w:r>
              <w:rPr>
                <w:rFonts w:ascii="宋体" w:hAnsi="宋体" w:cs="宋体"/>
                <w:sz w:val="20"/>
                <w:szCs w:val="20"/>
              </w:rPr>
              <w:t>2025-08-25</w:t>
            </w:r>
          </w:p>
        </w:tc>
        <w:tc>
          <w:tcPr>
            <w:tcW w:w="992" w:type="dxa"/>
            <w:vAlign w:val="center"/>
          </w:tcPr>
          <w:p w14:paraId="73B6471B">
            <w:pPr>
              <w:spacing w:line="360" w:lineRule="auto"/>
              <w:jc w:val="center"/>
              <w:rPr>
                <w:rFonts w:ascii="宋体" w:hAnsi="宋体" w:cs="宋体"/>
                <w:sz w:val="20"/>
                <w:szCs w:val="20"/>
              </w:rPr>
            </w:pPr>
            <w:r>
              <w:rPr>
                <w:rFonts w:hint="eastAsia" w:ascii="宋体" w:hAnsi="宋体" w:cs="宋体"/>
                <w:sz w:val="20"/>
                <w:szCs w:val="20"/>
              </w:rPr>
              <w:t>王蕊</w:t>
            </w:r>
          </w:p>
        </w:tc>
        <w:tc>
          <w:tcPr>
            <w:tcW w:w="1276" w:type="dxa"/>
            <w:vAlign w:val="center"/>
          </w:tcPr>
          <w:p w14:paraId="09B0296D">
            <w:pPr>
              <w:spacing w:line="360" w:lineRule="auto"/>
              <w:jc w:val="center"/>
              <w:rPr>
                <w:rFonts w:ascii="宋体" w:hAnsi="宋体" w:cs="宋体"/>
                <w:sz w:val="20"/>
                <w:szCs w:val="20"/>
              </w:rPr>
            </w:pPr>
            <w:r>
              <w:rPr>
                <w:rFonts w:hint="eastAsia" w:ascii="宋体" w:hAnsi="宋体" w:cs="宋体"/>
                <w:sz w:val="20"/>
                <w:szCs w:val="20"/>
              </w:rPr>
              <w:t>普刊（知网收录）</w:t>
            </w:r>
          </w:p>
        </w:tc>
        <w:tc>
          <w:tcPr>
            <w:tcW w:w="617" w:type="dxa"/>
            <w:vAlign w:val="center"/>
          </w:tcPr>
          <w:p w14:paraId="1E7586AC">
            <w:pPr>
              <w:spacing w:line="360" w:lineRule="auto"/>
              <w:jc w:val="center"/>
              <w:rPr>
                <w:rFonts w:ascii="宋体" w:hAnsi="宋体" w:cs="宋体"/>
                <w:sz w:val="20"/>
                <w:szCs w:val="20"/>
              </w:rPr>
            </w:pPr>
          </w:p>
        </w:tc>
      </w:tr>
      <w:tr w14:paraId="0C5A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366532F0">
            <w:pPr>
              <w:widowControl/>
              <w:jc w:val="center"/>
              <w:rPr>
                <w:rFonts w:ascii="Arial" w:hAnsi="Arial" w:eastAsia="宋体" w:cs="Arial"/>
                <w:kern w:val="0"/>
                <w:sz w:val="20"/>
                <w:szCs w:val="20"/>
              </w:rPr>
            </w:pPr>
            <w:r>
              <w:rPr>
                <w:rFonts w:ascii="Arial" w:hAnsi="Arial" w:cs="Arial"/>
                <w:sz w:val="20"/>
                <w:szCs w:val="20"/>
              </w:rPr>
              <w:t>古村落文化现代化发展实践路径分析——以广东省东莞市南社古村落文化为例</w:t>
            </w:r>
          </w:p>
        </w:tc>
        <w:tc>
          <w:tcPr>
            <w:tcW w:w="1296" w:type="dxa"/>
            <w:vAlign w:val="center"/>
          </w:tcPr>
          <w:p w14:paraId="567FE7AB">
            <w:pPr>
              <w:widowControl/>
              <w:jc w:val="center"/>
              <w:rPr>
                <w:rFonts w:ascii="Arial" w:hAnsi="Arial" w:eastAsia="宋体" w:cs="Arial"/>
                <w:kern w:val="0"/>
                <w:sz w:val="20"/>
                <w:szCs w:val="20"/>
              </w:rPr>
            </w:pPr>
            <w:r>
              <w:rPr>
                <w:rFonts w:ascii="Arial" w:hAnsi="Arial" w:cs="Arial"/>
                <w:sz w:val="20"/>
                <w:szCs w:val="20"/>
              </w:rPr>
              <w:t>农业产业化</w:t>
            </w:r>
          </w:p>
        </w:tc>
        <w:tc>
          <w:tcPr>
            <w:tcW w:w="1398" w:type="dxa"/>
            <w:vAlign w:val="center"/>
          </w:tcPr>
          <w:p w14:paraId="4ED44B77">
            <w:pPr>
              <w:spacing w:line="360" w:lineRule="auto"/>
              <w:jc w:val="center"/>
              <w:rPr>
                <w:rFonts w:ascii="宋体" w:hAnsi="宋体" w:cs="宋体"/>
                <w:sz w:val="20"/>
                <w:szCs w:val="20"/>
              </w:rPr>
            </w:pPr>
            <w:r>
              <w:rPr>
                <w:rFonts w:ascii="宋体" w:hAnsi="宋体" w:cs="宋体"/>
                <w:sz w:val="20"/>
                <w:szCs w:val="20"/>
              </w:rPr>
              <w:t>2025-08-30</w:t>
            </w:r>
          </w:p>
        </w:tc>
        <w:tc>
          <w:tcPr>
            <w:tcW w:w="992" w:type="dxa"/>
            <w:vAlign w:val="center"/>
          </w:tcPr>
          <w:p w14:paraId="7D70C243">
            <w:pPr>
              <w:spacing w:line="360" w:lineRule="auto"/>
              <w:jc w:val="center"/>
              <w:rPr>
                <w:rFonts w:ascii="宋体" w:hAnsi="宋体" w:cs="宋体"/>
                <w:sz w:val="20"/>
                <w:szCs w:val="20"/>
              </w:rPr>
            </w:pPr>
            <w:r>
              <w:rPr>
                <w:rFonts w:ascii="宋体" w:hAnsi="宋体" w:cs="宋体"/>
                <w:sz w:val="20"/>
                <w:szCs w:val="20"/>
              </w:rPr>
              <w:t>刘玉婷</w:t>
            </w:r>
            <w:r>
              <w:rPr>
                <w:rFonts w:hint="eastAsia" w:ascii="宋体" w:hAnsi="宋体" w:cs="宋体"/>
                <w:sz w:val="20"/>
                <w:szCs w:val="20"/>
              </w:rPr>
              <w:t>，</w:t>
            </w:r>
            <w:r>
              <w:rPr>
                <w:rFonts w:ascii="宋体" w:hAnsi="宋体" w:cs="宋体"/>
                <w:sz w:val="20"/>
                <w:szCs w:val="20"/>
              </w:rPr>
              <w:t>刘秀玲</w:t>
            </w:r>
            <w:r>
              <w:rPr>
                <w:rFonts w:hint="eastAsia" w:ascii="宋体" w:hAnsi="宋体" w:cs="宋体"/>
                <w:sz w:val="20"/>
                <w:szCs w:val="20"/>
              </w:rPr>
              <w:t>，</w:t>
            </w:r>
            <w:r>
              <w:rPr>
                <w:rFonts w:ascii="宋体" w:hAnsi="宋体" w:cs="宋体"/>
                <w:sz w:val="20"/>
                <w:szCs w:val="20"/>
              </w:rPr>
              <w:t>王俊锋</w:t>
            </w:r>
          </w:p>
        </w:tc>
        <w:tc>
          <w:tcPr>
            <w:tcW w:w="1276" w:type="dxa"/>
            <w:vAlign w:val="center"/>
          </w:tcPr>
          <w:p w14:paraId="1D1BA7D6">
            <w:pPr>
              <w:spacing w:line="360" w:lineRule="auto"/>
              <w:jc w:val="center"/>
              <w:rPr>
                <w:rFonts w:ascii="宋体" w:hAnsi="宋体" w:cs="宋体"/>
                <w:sz w:val="20"/>
                <w:szCs w:val="20"/>
              </w:rPr>
            </w:pPr>
            <w:r>
              <w:rPr>
                <w:rFonts w:hint="eastAsia" w:ascii="宋体" w:hAnsi="宋体" w:cs="宋体"/>
                <w:sz w:val="20"/>
                <w:szCs w:val="20"/>
              </w:rPr>
              <w:t>普刊（知网收录）</w:t>
            </w:r>
          </w:p>
        </w:tc>
        <w:tc>
          <w:tcPr>
            <w:tcW w:w="617" w:type="dxa"/>
            <w:vAlign w:val="center"/>
          </w:tcPr>
          <w:p w14:paraId="5C4B02DF">
            <w:pPr>
              <w:spacing w:line="360" w:lineRule="auto"/>
              <w:jc w:val="center"/>
              <w:rPr>
                <w:rFonts w:ascii="宋体" w:hAnsi="宋体" w:cs="宋体"/>
                <w:sz w:val="20"/>
                <w:szCs w:val="20"/>
              </w:rPr>
            </w:pPr>
          </w:p>
        </w:tc>
      </w:tr>
      <w:tr w14:paraId="5D77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643702EA">
            <w:pPr>
              <w:widowControl/>
              <w:jc w:val="center"/>
              <w:rPr>
                <w:rFonts w:ascii="Arial" w:hAnsi="Arial" w:eastAsia="宋体" w:cs="Arial"/>
                <w:kern w:val="0"/>
                <w:sz w:val="20"/>
                <w:szCs w:val="20"/>
              </w:rPr>
            </w:pPr>
            <w:r>
              <w:rPr>
                <w:rFonts w:ascii="Arial" w:hAnsi="Arial" w:cs="Arial"/>
                <w:sz w:val="20"/>
                <w:szCs w:val="20"/>
              </w:rPr>
              <w:t>基于 LSTM 模型的东莞红色文物演变过程预测与动态分析</w:t>
            </w:r>
          </w:p>
        </w:tc>
        <w:tc>
          <w:tcPr>
            <w:tcW w:w="1296" w:type="dxa"/>
            <w:vAlign w:val="center"/>
          </w:tcPr>
          <w:p w14:paraId="541048CD">
            <w:pPr>
              <w:spacing w:line="360" w:lineRule="auto"/>
              <w:jc w:val="center"/>
              <w:rPr>
                <w:rFonts w:ascii="宋体" w:hAnsi="宋体" w:cs="宋体"/>
                <w:sz w:val="20"/>
                <w:szCs w:val="20"/>
              </w:rPr>
            </w:pPr>
            <w:r>
              <w:rPr>
                <w:rFonts w:ascii="宋体" w:hAnsi="宋体" w:cs="宋体"/>
                <w:sz w:val="20"/>
                <w:szCs w:val="20"/>
              </w:rPr>
              <w:t>2025年第二届计算机与多媒体技术国际会议</w:t>
            </w:r>
          </w:p>
        </w:tc>
        <w:tc>
          <w:tcPr>
            <w:tcW w:w="1398" w:type="dxa"/>
            <w:vAlign w:val="center"/>
          </w:tcPr>
          <w:p w14:paraId="71959887">
            <w:pPr>
              <w:spacing w:line="360" w:lineRule="auto"/>
              <w:jc w:val="center"/>
              <w:rPr>
                <w:rFonts w:ascii="宋体" w:hAnsi="宋体" w:cs="宋体"/>
                <w:sz w:val="20"/>
                <w:szCs w:val="20"/>
              </w:rPr>
            </w:pPr>
            <w:r>
              <w:rPr>
                <w:rFonts w:ascii="宋体" w:hAnsi="宋体" w:cs="宋体"/>
                <w:sz w:val="20"/>
                <w:szCs w:val="20"/>
              </w:rPr>
              <w:t>2025-09-15</w:t>
            </w:r>
          </w:p>
        </w:tc>
        <w:tc>
          <w:tcPr>
            <w:tcW w:w="992" w:type="dxa"/>
            <w:vAlign w:val="center"/>
          </w:tcPr>
          <w:p w14:paraId="326AF625">
            <w:pPr>
              <w:spacing w:line="360" w:lineRule="auto"/>
              <w:jc w:val="center"/>
              <w:rPr>
                <w:rFonts w:ascii="宋体" w:hAnsi="宋体" w:cs="宋体"/>
                <w:sz w:val="20"/>
                <w:szCs w:val="20"/>
              </w:rPr>
            </w:pPr>
            <w:r>
              <w:rPr>
                <w:rFonts w:ascii="宋体" w:hAnsi="宋体" w:cs="宋体"/>
                <w:sz w:val="20"/>
                <w:szCs w:val="20"/>
              </w:rPr>
              <w:t>张俊锋</w:t>
            </w:r>
            <w:r>
              <w:rPr>
                <w:rFonts w:hint="eastAsia" w:ascii="宋体" w:hAnsi="宋体" w:cs="宋体"/>
                <w:sz w:val="20"/>
                <w:szCs w:val="20"/>
              </w:rPr>
              <w:t>，</w:t>
            </w:r>
            <w:r>
              <w:rPr>
                <w:rFonts w:ascii="宋体" w:hAnsi="宋体" w:cs="宋体"/>
                <w:sz w:val="20"/>
                <w:szCs w:val="20"/>
              </w:rPr>
              <w:t>田野</w:t>
            </w:r>
            <w:r>
              <w:rPr>
                <w:rFonts w:hint="eastAsia" w:ascii="宋体" w:hAnsi="宋体" w:cs="宋体"/>
                <w:sz w:val="20"/>
                <w:szCs w:val="20"/>
              </w:rPr>
              <w:t>，</w:t>
            </w:r>
            <w:r>
              <w:rPr>
                <w:rFonts w:ascii="宋体" w:hAnsi="宋体" w:cs="宋体"/>
                <w:sz w:val="20"/>
                <w:szCs w:val="20"/>
              </w:rPr>
              <w:t>方巧贞</w:t>
            </w:r>
          </w:p>
        </w:tc>
        <w:tc>
          <w:tcPr>
            <w:tcW w:w="1276" w:type="dxa"/>
            <w:vAlign w:val="center"/>
          </w:tcPr>
          <w:p w14:paraId="61E666B9">
            <w:pPr>
              <w:spacing w:line="360" w:lineRule="auto"/>
              <w:jc w:val="center"/>
              <w:rPr>
                <w:rFonts w:ascii="宋体" w:hAnsi="宋体" w:cs="宋体"/>
                <w:sz w:val="20"/>
                <w:szCs w:val="20"/>
              </w:rPr>
            </w:pPr>
            <w:r>
              <w:rPr>
                <w:rFonts w:hint="eastAsia" w:ascii="宋体" w:hAnsi="宋体" w:cs="宋体"/>
                <w:sz w:val="20"/>
                <w:szCs w:val="20"/>
              </w:rPr>
              <w:t>EI会议收录</w:t>
            </w:r>
          </w:p>
        </w:tc>
        <w:tc>
          <w:tcPr>
            <w:tcW w:w="617" w:type="dxa"/>
            <w:vAlign w:val="center"/>
          </w:tcPr>
          <w:p w14:paraId="44B73B02">
            <w:pPr>
              <w:spacing w:line="360" w:lineRule="auto"/>
              <w:jc w:val="center"/>
              <w:rPr>
                <w:rFonts w:ascii="宋体" w:hAnsi="宋体" w:cs="宋体"/>
                <w:sz w:val="20"/>
                <w:szCs w:val="20"/>
              </w:rPr>
            </w:pPr>
          </w:p>
        </w:tc>
      </w:tr>
      <w:tr w14:paraId="61D9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2C003308">
            <w:pPr>
              <w:widowControl/>
              <w:jc w:val="center"/>
              <w:rPr>
                <w:rFonts w:ascii="Arial" w:hAnsi="Arial" w:eastAsia="宋体" w:cs="Arial"/>
                <w:kern w:val="0"/>
                <w:sz w:val="20"/>
                <w:szCs w:val="20"/>
              </w:rPr>
            </w:pPr>
            <w:r>
              <w:rPr>
                <w:rFonts w:ascii="Arial" w:hAnsi="Arial" w:cs="Arial"/>
                <w:sz w:val="20"/>
                <w:szCs w:val="20"/>
              </w:rPr>
              <w:t>基于图神经网络（GNN）的东莞红色文化传播网络优化模型</w:t>
            </w:r>
          </w:p>
        </w:tc>
        <w:tc>
          <w:tcPr>
            <w:tcW w:w="1296" w:type="dxa"/>
            <w:vAlign w:val="center"/>
          </w:tcPr>
          <w:p w14:paraId="1EB27195">
            <w:pPr>
              <w:spacing w:line="360" w:lineRule="auto"/>
              <w:jc w:val="center"/>
              <w:rPr>
                <w:rFonts w:ascii="宋体" w:hAnsi="宋体" w:cs="宋体"/>
                <w:sz w:val="20"/>
                <w:szCs w:val="20"/>
              </w:rPr>
            </w:pPr>
            <w:r>
              <w:rPr>
                <w:rFonts w:ascii="宋体" w:hAnsi="宋体" w:cs="宋体"/>
                <w:sz w:val="20"/>
                <w:szCs w:val="20"/>
              </w:rPr>
              <w:t>第二届计算机与多媒体技术国际学术会议</w:t>
            </w:r>
          </w:p>
        </w:tc>
        <w:tc>
          <w:tcPr>
            <w:tcW w:w="1398" w:type="dxa"/>
            <w:vAlign w:val="center"/>
          </w:tcPr>
          <w:p w14:paraId="3EBC1308">
            <w:pPr>
              <w:spacing w:line="360" w:lineRule="auto"/>
              <w:jc w:val="center"/>
              <w:rPr>
                <w:rFonts w:ascii="宋体" w:hAnsi="宋体" w:cs="宋体"/>
                <w:sz w:val="20"/>
                <w:szCs w:val="20"/>
              </w:rPr>
            </w:pPr>
            <w:r>
              <w:rPr>
                <w:rFonts w:ascii="宋体" w:hAnsi="宋体" w:cs="宋体"/>
                <w:sz w:val="20"/>
                <w:szCs w:val="20"/>
              </w:rPr>
              <w:t>2025-06-08</w:t>
            </w:r>
          </w:p>
        </w:tc>
        <w:tc>
          <w:tcPr>
            <w:tcW w:w="992" w:type="dxa"/>
            <w:vAlign w:val="center"/>
          </w:tcPr>
          <w:p w14:paraId="5032F2B2">
            <w:pPr>
              <w:spacing w:line="360" w:lineRule="auto"/>
              <w:jc w:val="center"/>
              <w:rPr>
                <w:rFonts w:ascii="宋体" w:hAnsi="宋体" w:cs="宋体"/>
                <w:sz w:val="20"/>
                <w:szCs w:val="20"/>
              </w:rPr>
            </w:pPr>
            <w:r>
              <w:rPr>
                <w:rFonts w:ascii="宋体" w:hAnsi="宋体" w:cs="宋体"/>
                <w:sz w:val="20"/>
                <w:szCs w:val="20"/>
              </w:rPr>
              <w:t>林艳</w:t>
            </w:r>
          </w:p>
        </w:tc>
        <w:tc>
          <w:tcPr>
            <w:tcW w:w="1276" w:type="dxa"/>
            <w:vAlign w:val="center"/>
          </w:tcPr>
          <w:p w14:paraId="4D9579DE">
            <w:pPr>
              <w:spacing w:line="360" w:lineRule="auto"/>
              <w:jc w:val="center"/>
              <w:rPr>
                <w:rFonts w:ascii="宋体" w:hAnsi="宋体" w:cs="宋体"/>
                <w:sz w:val="20"/>
                <w:szCs w:val="20"/>
              </w:rPr>
            </w:pPr>
            <w:r>
              <w:rPr>
                <w:rFonts w:hint="eastAsia" w:ascii="宋体" w:hAnsi="宋体" w:cs="宋体"/>
                <w:sz w:val="20"/>
                <w:szCs w:val="20"/>
              </w:rPr>
              <w:t>EI会议收录</w:t>
            </w:r>
          </w:p>
        </w:tc>
        <w:tc>
          <w:tcPr>
            <w:tcW w:w="617" w:type="dxa"/>
            <w:vAlign w:val="center"/>
          </w:tcPr>
          <w:p w14:paraId="7A71265E">
            <w:pPr>
              <w:spacing w:line="360" w:lineRule="auto"/>
              <w:jc w:val="center"/>
              <w:rPr>
                <w:rFonts w:ascii="宋体" w:hAnsi="宋体" w:cs="宋体"/>
                <w:sz w:val="20"/>
                <w:szCs w:val="20"/>
              </w:rPr>
            </w:pPr>
          </w:p>
        </w:tc>
      </w:tr>
      <w:tr w14:paraId="5B49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1C47337A">
            <w:pPr>
              <w:spacing w:line="360" w:lineRule="auto"/>
              <w:jc w:val="center"/>
              <w:rPr>
                <w:rFonts w:ascii="宋体" w:hAnsi="宋体" w:cs="宋体"/>
                <w:sz w:val="20"/>
                <w:szCs w:val="20"/>
              </w:rPr>
            </w:pPr>
            <w:r>
              <w:rPr>
                <w:rFonts w:ascii="宋体" w:hAnsi="宋体" w:cs="宋体"/>
                <w:sz w:val="20"/>
                <w:szCs w:val="20"/>
              </w:rPr>
              <w:t>多层次卷积神经网络与GAN结合的东莞红色文化数据智能分析</w:t>
            </w:r>
          </w:p>
        </w:tc>
        <w:tc>
          <w:tcPr>
            <w:tcW w:w="1296" w:type="dxa"/>
            <w:vAlign w:val="center"/>
          </w:tcPr>
          <w:p w14:paraId="728E84AB">
            <w:pPr>
              <w:spacing w:line="360" w:lineRule="auto"/>
              <w:jc w:val="center"/>
              <w:rPr>
                <w:rFonts w:ascii="宋体" w:hAnsi="宋体" w:cs="宋体"/>
                <w:sz w:val="20"/>
                <w:szCs w:val="20"/>
              </w:rPr>
            </w:pPr>
            <w:r>
              <w:rPr>
                <w:rFonts w:ascii="宋体" w:hAnsi="宋体" w:cs="宋体"/>
                <w:sz w:val="20"/>
                <w:szCs w:val="20"/>
              </w:rPr>
              <w:t>第二届计算机与多媒体技术国际学术会议</w:t>
            </w:r>
          </w:p>
        </w:tc>
        <w:tc>
          <w:tcPr>
            <w:tcW w:w="1398" w:type="dxa"/>
            <w:vAlign w:val="center"/>
          </w:tcPr>
          <w:p w14:paraId="60847A8C">
            <w:pPr>
              <w:spacing w:line="360" w:lineRule="auto"/>
              <w:jc w:val="center"/>
              <w:rPr>
                <w:rFonts w:ascii="宋体" w:hAnsi="宋体" w:cs="宋体"/>
                <w:sz w:val="20"/>
                <w:szCs w:val="20"/>
              </w:rPr>
            </w:pPr>
            <w:r>
              <w:rPr>
                <w:rFonts w:ascii="宋体" w:hAnsi="宋体" w:cs="宋体"/>
                <w:sz w:val="20"/>
                <w:szCs w:val="20"/>
              </w:rPr>
              <w:t>2025-06-08</w:t>
            </w:r>
          </w:p>
        </w:tc>
        <w:tc>
          <w:tcPr>
            <w:tcW w:w="992" w:type="dxa"/>
            <w:vAlign w:val="center"/>
          </w:tcPr>
          <w:p w14:paraId="555E3263">
            <w:pPr>
              <w:spacing w:line="360" w:lineRule="auto"/>
              <w:jc w:val="center"/>
              <w:rPr>
                <w:rFonts w:ascii="宋体" w:hAnsi="宋体" w:cs="宋体"/>
                <w:sz w:val="20"/>
                <w:szCs w:val="20"/>
              </w:rPr>
            </w:pPr>
            <w:r>
              <w:rPr>
                <w:rFonts w:hint="eastAsia" w:ascii="宋体" w:hAnsi="宋体" w:cs="宋体"/>
                <w:sz w:val="20"/>
                <w:szCs w:val="20"/>
              </w:rPr>
              <w:t>林艳</w:t>
            </w:r>
          </w:p>
        </w:tc>
        <w:tc>
          <w:tcPr>
            <w:tcW w:w="1276" w:type="dxa"/>
            <w:vAlign w:val="center"/>
          </w:tcPr>
          <w:p w14:paraId="19BFDE87">
            <w:pPr>
              <w:spacing w:line="360" w:lineRule="auto"/>
              <w:jc w:val="center"/>
              <w:rPr>
                <w:rFonts w:ascii="宋体" w:hAnsi="宋体" w:cs="宋体"/>
                <w:sz w:val="20"/>
                <w:szCs w:val="20"/>
              </w:rPr>
            </w:pPr>
            <w:r>
              <w:rPr>
                <w:rFonts w:hint="eastAsia" w:ascii="宋体" w:hAnsi="宋体" w:cs="宋体"/>
                <w:sz w:val="20"/>
                <w:szCs w:val="20"/>
              </w:rPr>
              <w:t>EI会议收录</w:t>
            </w:r>
          </w:p>
        </w:tc>
        <w:tc>
          <w:tcPr>
            <w:tcW w:w="617" w:type="dxa"/>
            <w:vAlign w:val="center"/>
          </w:tcPr>
          <w:p w14:paraId="70C89D5C">
            <w:pPr>
              <w:spacing w:line="360" w:lineRule="auto"/>
              <w:jc w:val="center"/>
              <w:rPr>
                <w:rFonts w:ascii="宋体" w:hAnsi="宋体" w:cs="宋体"/>
                <w:sz w:val="20"/>
                <w:szCs w:val="20"/>
              </w:rPr>
            </w:pPr>
          </w:p>
        </w:tc>
      </w:tr>
      <w:tr w14:paraId="3A06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23EDB656">
            <w:pPr>
              <w:spacing w:line="360" w:lineRule="auto"/>
              <w:jc w:val="center"/>
              <w:rPr>
                <w:rFonts w:ascii="宋体" w:hAnsi="宋体" w:cs="宋体"/>
                <w:sz w:val="20"/>
                <w:szCs w:val="20"/>
              </w:rPr>
            </w:pPr>
            <w:r>
              <w:rPr>
                <w:rFonts w:ascii="宋体" w:hAnsi="宋体" w:cs="宋体"/>
                <w:sz w:val="20"/>
                <w:szCs w:val="20"/>
              </w:rPr>
              <w:t>基于历史文献和空间自回归模型探讨东莞红色文化遗址的分布与演变</w:t>
            </w:r>
          </w:p>
        </w:tc>
        <w:tc>
          <w:tcPr>
            <w:tcW w:w="1296" w:type="dxa"/>
            <w:vAlign w:val="center"/>
          </w:tcPr>
          <w:p w14:paraId="7178D862">
            <w:pPr>
              <w:spacing w:line="360" w:lineRule="auto"/>
              <w:jc w:val="center"/>
              <w:rPr>
                <w:rFonts w:ascii="宋体" w:hAnsi="宋体" w:cs="宋体"/>
                <w:sz w:val="20"/>
                <w:szCs w:val="20"/>
              </w:rPr>
            </w:pPr>
            <w:r>
              <w:rPr>
                <w:rFonts w:ascii="宋体" w:hAnsi="宋体" w:cs="宋体"/>
                <w:sz w:val="20"/>
                <w:szCs w:val="20"/>
              </w:rPr>
              <w:t>2025第二届计算机与多媒体技术国际会议</w:t>
            </w:r>
          </w:p>
        </w:tc>
        <w:tc>
          <w:tcPr>
            <w:tcW w:w="1398" w:type="dxa"/>
            <w:vAlign w:val="center"/>
          </w:tcPr>
          <w:p w14:paraId="44120AF5">
            <w:pPr>
              <w:spacing w:line="360" w:lineRule="auto"/>
              <w:jc w:val="center"/>
              <w:rPr>
                <w:rFonts w:ascii="宋体" w:hAnsi="宋体" w:cs="宋体"/>
                <w:sz w:val="20"/>
                <w:szCs w:val="20"/>
              </w:rPr>
            </w:pPr>
            <w:r>
              <w:rPr>
                <w:rFonts w:ascii="宋体" w:hAnsi="宋体" w:cs="宋体"/>
                <w:sz w:val="20"/>
                <w:szCs w:val="20"/>
              </w:rPr>
              <w:t>2025-09-15</w:t>
            </w:r>
          </w:p>
        </w:tc>
        <w:tc>
          <w:tcPr>
            <w:tcW w:w="992" w:type="dxa"/>
            <w:vAlign w:val="center"/>
          </w:tcPr>
          <w:p w14:paraId="033B2D4D">
            <w:pPr>
              <w:spacing w:line="360" w:lineRule="auto"/>
              <w:jc w:val="center"/>
              <w:rPr>
                <w:rFonts w:ascii="宋体" w:hAnsi="宋体" w:cs="宋体"/>
                <w:sz w:val="20"/>
                <w:szCs w:val="20"/>
              </w:rPr>
            </w:pPr>
            <w:r>
              <w:rPr>
                <w:rFonts w:hint="eastAsia" w:ascii="宋体" w:hAnsi="宋体" w:cs="宋体"/>
                <w:sz w:val="20"/>
                <w:szCs w:val="20"/>
              </w:rPr>
              <w:t>周惠杰</w:t>
            </w:r>
          </w:p>
        </w:tc>
        <w:tc>
          <w:tcPr>
            <w:tcW w:w="1276" w:type="dxa"/>
            <w:vAlign w:val="center"/>
          </w:tcPr>
          <w:p w14:paraId="1045A3B7">
            <w:pPr>
              <w:spacing w:line="360" w:lineRule="auto"/>
              <w:jc w:val="center"/>
              <w:rPr>
                <w:rFonts w:ascii="宋体" w:hAnsi="宋体" w:cs="宋体"/>
                <w:sz w:val="20"/>
                <w:szCs w:val="20"/>
              </w:rPr>
            </w:pPr>
            <w:r>
              <w:rPr>
                <w:rFonts w:hint="eastAsia" w:ascii="宋体" w:hAnsi="宋体" w:cs="宋体"/>
                <w:sz w:val="20"/>
                <w:szCs w:val="20"/>
              </w:rPr>
              <w:t>EI会议收录</w:t>
            </w:r>
          </w:p>
        </w:tc>
        <w:tc>
          <w:tcPr>
            <w:tcW w:w="617" w:type="dxa"/>
            <w:vAlign w:val="center"/>
          </w:tcPr>
          <w:p w14:paraId="5AA6548F">
            <w:pPr>
              <w:spacing w:line="360" w:lineRule="auto"/>
              <w:jc w:val="center"/>
              <w:rPr>
                <w:rFonts w:ascii="宋体" w:hAnsi="宋体" w:cs="宋体"/>
                <w:sz w:val="20"/>
                <w:szCs w:val="20"/>
              </w:rPr>
            </w:pPr>
          </w:p>
        </w:tc>
      </w:tr>
      <w:tr w14:paraId="331C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3014D3DA">
            <w:pPr>
              <w:spacing w:line="360" w:lineRule="auto"/>
              <w:jc w:val="center"/>
              <w:rPr>
                <w:rFonts w:ascii="宋体" w:hAnsi="宋体" w:cs="宋体"/>
                <w:sz w:val="20"/>
                <w:szCs w:val="20"/>
              </w:rPr>
            </w:pPr>
            <w:r>
              <w:rPr>
                <w:rFonts w:ascii="宋体" w:hAnsi="宋体" w:cs="宋体"/>
                <w:sz w:val="20"/>
                <w:szCs w:val="20"/>
              </w:rPr>
              <w:t>文化传承与乡村振兴的双向赋能机制探究-以江门新会区三江镇为例</w:t>
            </w:r>
          </w:p>
        </w:tc>
        <w:tc>
          <w:tcPr>
            <w:tcW w:w="1296" w:type="dxa"/>
            <w:vAlign w:val="center"/>
          </w:tcPr>
          <w:p w14:paraId="2A101B07">
            <w:pPr>
              <w:widowControl/>
              <w:jc w:val="center"/>
              <w:rPr>
                <w:rFonts w:ascii="Arial" w:hAnsi="Arial" w:eastAsia="宋体" w:cs="Arial"/>
                <w:kern w:val="0"/>
                <w:sz w:val="20"/>
                <w:szCs w:val="20"/>
              </w:rPr>
            </w:pPr>
            <w:r>
              <w:rPr>
                <w:rFonts w:ascii="Arial" w:hAnsi="Arial" w:cs="Arial"/>
                <w:sz w:val="20"/>
                <w:szCs w:val="20"/>
              </w:rPr>
              <w:t>广东科技学院应用大学研究</w:t>
            </w:r>
          </w:p>
        </w:tc>
        <w:tc>
          <w:tcPr>
            <w:tcW w:w="1398" w:type="dxa"/>
            <w:vAlign w:val="center"/>
          </w:tcPr>
          <w:p w14:paraId="46E9A44C">
            <w:pPr>
              <w:spacing w:line="360" w:lineRule="auto"/>
              <w:jc w:val="center"/>
              <w:rPr>
                <w:rFonts w:ascii="宋体" w:hAnsi="宋体" w:cs="宋体"/>
                <w:sz w:val="20"/>
                <w:szCs w:val="20"/>
              </w:rPr>
            </w:pPr>
            <w:r>
              <w:rPr>
                <w:rFonts w:ascii="宋体" w:hAnsi="宋体" w:cs="宋体"/>
                <w:sz w:val="20"/>
                <w:szCs w:val="20"/>
              </w:rPr>
              <w:t>2025-12-01</w:t>
            </w:r>
          </w:p>
        </w:tc>
        <w:tc>
          <w:tcPr>
            <w:tcW w:w="992" w:type="dxa"/>
            <w:vAlign w:val="center"/>
          </w:tcPr>
          <w:p w14:paraId="0C50DFC3">
            <w:pPr>
              <w:widowControl/>
              <w:jc w:val="center"/>
              <w:rPr>
                <w:rFonts w:ascii="Arial" w:hAnsi="Arial" w:eastAsia="宋体" w:cs="Arial"/>
                <w:kern w:val="0"/>
                <w:sz w:val="20"/>
                <w:szCs w:val="20"/>
              </w:rPr>
            </w:pPr>
            <w:r>
              <w:rPr>
                <w:rFonts w:ascii="Arial" w:hAnsi="Arial" w:cs="Arial"/>
                <w:sz w:val="20"/>
                <w:szCs w:val="20"/>
              </w:rPr>
              <w:t>龚洁琼</w:t>
            </w:r>
          </w:p>
        </w:tc>
        <w:tc>
          <w:tcPr>
            <w:tcW w:w="1276" w:type="dxa"/>
            <w:vAlign w:val="center"/>
          </w:tcPr>
          <w:p w14:paraId="15A501C0">
            <w:pPr>
              <w:spacing w:line="360" w:lineRule="auto"/>
              <w:jc w:val="center"/>
              <w:rPr>
                <w:rFonts w:ascii="宋体" w:hAnsi="宋体" w:cs="宋体"/>
                <w:sz w:val="20"/>
                <w:szCs w:val="20"/>
              </w:rPr>
            </w:pPr>
            <w:r>
              <w:rPr>
                <w:rFonts w:hint="eastAsia" w:ascii="宋体" w:hAnsi="宋体" w:cs="宋体"/>
                <w:sz w:val="20"/>
                <w:szCs w:val="20"/>
              </w:rPr>
              <w:t>本校学术期刊</w:t>
            </w:r>
          </w:p>
        </w:tc>
        <w:tc>
          <w:tcPr>
            <w:tcW w:w="617" w:type="dxa"/>
            <w:vAlign w:val="center"/>
          </w:tcPr>
          <w:p w14:paraId="7640E848">
            <w:pPr>
              <w:spacing w:line="360" w:lineRule="auto"/>
              <w:jc w:val="center"/>
              <w:rPr>
                <w:rFonts w:ascii="宋体" w:hAnsi="宋体" w:cs="宋体"/>
                <w:sz w:val="20"/>
                <w:szCs w:val="20"/>
              </w:rPr>
            </w:pPr>
          </w:p>
        </w:tc>
      </w:tr>
      <w:tr w14:paraId="1EF3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2828B008">
            <w:pPr>
              <w:spacing w:line="360" w:lineRule="auto"/>
              <w:jc w:val="center"/>
              <w:rPr>
                <w:rFonts w:ascii="宋体" w:hAnsi="宋体" w:cs="宋体"/>
                <w:sz w:val="20"/>
                <w:szCs w:val="20"/>
              </w:rPr>
            </w:pPr>
            <w:r>
              <w:rPr>
                <w:rFonts w:ascii="宋体" w:hAnsi="宋体" w:cs="宋体"/>
                <w:sz w:val="20"/>
                <w:szCs w:val="20"/>
              </w:rPr>
              <w:t>构建东莞红色文化实践育人共同体的路径研究</w:t>
            </w:r>
          </w:p>
        </w:tc>
        <w:tc>
          <w:tcPr>
            <w:tcW w:w="1296" w:type="dxa"/>
            <w:vAlign w:val="center"/>
          </w:tcPr>
          <w:p w14:paraId="3BF5F853">
            <w:pPr>
              <w:widowControl/>
              <w:jc w:val="center"/>
              <w:rPr>
                <w:rFonts w:ascii="Arial" w:hAnsi="Arial" w:eastAsia="宋体" w:cs="Arial"/>
                <w:kern w:val="0"/>
                <w:sz w:val="20"/>
                <w:szCs w:val="20"/>
              </w:rPr>
            </w:pPr>
            <w:r>
              <w:rPr>
                <w:rFonts w:ascii="Arial" w:hAnsi="Arial" w:cs="Arial"/>
                <w:sz w:val="20"/>
                <w:szCs w:val="20"/>
              </w:rPr>
              <w:t>教育教学创新</w:t>
            </w:r>
          </w:p>
        </w:tc>
        <w:tc>
          <w:tcPr>
            <w:tcW w:w="1398" w:type="dxa"/>
            <w:vAlign w:val="center"/>
          </w:tcPr>
          <w:p w14:paraId="664464B0">
            <w:pPr>
              <w:spacing w:line="360" w:lineRule="auto"/>
              <w:jc w:val="center"/>
              <w:rPr>
                <w:rFonts w:ascii="宋体" w:hAnsi="宋体" w:cs="宋体"/>
                <w:sz w:val="20"/>
                <w:szCs w:val="20"/>
              </w:rPr>
            </w:pPr>
            <w:r>
              <w:rPr>
                <w:rFonts w:ascii="宋体" w:hAnsi="宋体" w:cs="宋体"/>
                <w:sz w:val="20"/>
                <w:szCs w:val="20"/>
              </w:rPr>
              <w:t>2025-09-15</w:t>
            </w:r>
          </w:p>
        </w:tc>
        <w:tc>
          <w:tcPr>
            <w:tcW w:w="992" w:type="dxa"/>
            <w:vAlign w:val="center"/>
          </w:tcPr>
          <w:p w14:paraId="68D79A4A">
            <w:pPr>
              <w:widowControl/>
              <w:jc w:val="center"/>
              <w:rPr>
                <w:rFonts w:ascii="Arial" w:hAnsi="Arial" w:cs="Arial"/>
                <w:sz w:val="20"/>
                <w:szCs w:val="20"/>
              </w:rPr>
            </w:pPr>
            <w:r>
              <w:rPr>
                <w:rFonts w:hint="eastAsia" w:ascii="Arial" w:hAnsi="Arial" w:cs="Arial"/>
                <w:sz w:val="20"/>
                <w:szCs w:val="20"/>
              </w:rPr>
              <w:t>李英</w:t>
            </w:r>
          </w:p>
        </w:tc>
        <w:tc>
          <w:tcPr>
            <w:tcW w:w="1276" w:type="dxa"/>
            <w:vAlign w:val="center"/>
          </w:tcPr>
          <w:p w14:paraId="3246E75E">
            <w:pPr>
              <w:spacing w:line="360" w:lineRule="auto"/>
              <w:jc w:val="center"/>
              <w:rPr>
                <w:rFonts w:ascii="宋体" w:hAnsi="宋体" w:cs="宋体"/>
                <w:sz w:val="20"/>
                <w:szCs w:val="20"/>
              </w:rPr>
            </w:pPr>
            <w:r>
              <w:rPr>
                <w:rFonts w:hint="eastAsia" w:ascii="宋体" w:hAnsi="宋体" w:cs="宋体"/>
                <w:sz w:val="20"/>
                <w:szCs w:val="20"/>
              </w:rPr>
              <w:t>普刊</w:t>
            </w:r>
          </w:p>
        </w:tc>
        <w:tc>
          <w:tcPr>
            <w:tcW w:w="617" w:type="dxa"/>
            <w:vAlign w:val="center"/>
          </w:tcPr>
          <w:p w14:paraId="6526DCDC">
            <w:pPr>
              <w:spacing w:line="360" w:lineRule="auto"/>
              <w:jc w:val="center"/>
              <w:rPr>
                <w:rFonts w:ascii="宋体" w:hAnsi="宋体" w:cs="宋体"/>
                <w:sz w:val="20"/>
                <w:szCs w:val="20"/>
              </w:rPr>
            </w:pPr>
          </w:p>
        </w:tc>
      </w:tr>
      <w:tr w14:paraId="210E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3" w:type="dxa"/>
            <w:vAlign w:val="center"/>
          </w:tcPr>
          <w:p w14:paraId="60DA4ED4">
            <w:pPr>
              <w:spacing w:line="360" w:lineRule="auto"/>
              <w:jc w:val="center"/>
              <w:rPr>
                <w:rFonts w:ascii="宋体" w:hAnsi="宋体" w:cs="宋体"/>
                <w:sz w:val="20"/>
                <w:szCs w:val="20"/>
              </w:rPr>
            </w:pPr>
            <w:r>
              <w:rPr>
                <w:rFonts w:ascii="宋体" w:hAnsi="宋体" w:cs="宋体"/>
                <w:sz w:val="20"/>
                <w:szCs w:val="20"/>
              </w:rPr>
              <w:t>东莞红色文化资源融入思政课实践教育的路径探析</w:t>
            </w:r>
          </w:p>
        </w:tc>
        <w:tc>
          <w:tcPr>
            <w:tcW w:w="1296" w:type="dxa"/>
            <w:vAlign w:val="center"/>
          </w:tcPr>
          <w:p w14:paraId="320F12E7">
            <w:pPr>
              <w:widowControl/>
              <w:jc w:val="center"/>
              <w:rPr>
                <w:rFonts w:ascii="Arial" w:hAnsi="Arial" w:eastAsia="宋体" w:cs="Arial"/>
                <w:kern w:val="0"/>
                <w:sz w:val="20"/>
                <w:szCs w:val="20"/>
              </w:rPr>
            </w:pPr>
            <w:r>
              <w:rPr>
                <w:rFonts w:ascii="Arial" w:hAnsi="Arial" w:cs="Arial"/>
                <w:sz w:val="20"/>
                <w:szCs w:val="20"/>
              </w:rPr>
              <w:t>源流</w:t>
            </w:r>
          </w:p>
        </w:tc>
        <w:tc>
          <w:tcPr>
            <w:tcW w:w="1398" w:type="dxa"/>
            <w:vAlign w:val="center"/>
          </w:tcPr>
          <w:p w14:paraId="0754F360">
            <w:pPr>
              <w:spacing w:line="360" w:lineRule="auto"/>
              <w:jc w:val="center"/>
              <w:rPr>
                <w:rFonts w:ascii="宋体" w:hAnsi="宋体" w:cs="宋体"/>
                <w:sz w:val="20"/>
                <w:szCs w:val="20"/>
              </w:rPr>
            </w:pPr>
            <w:r>
              <w:rPr>
                <w:rFonts w:ascii="宋体" w:hAnsi="宋体" w:cs="宋体"/>
                <w:sz w:val="20"/>
                <w:szCs w:val="20"/>
              </w:rPr>
              <w:t>2025-04-24</w:t>
            </w:r>
          </w:p>
        </w:tc>
        <w:tc>
          <w:tcPr>
            <w:tcW w:w="992" w:type="dxa"/>
            <w:vAlign w:val="center"/>
          </w:tcPr>
          <w:p w14:paraId="610959FA">
            <w:pPr>
              <w:widowControl/>
              <w:jc w:val="center"/>
              <w:rPr>
                <w:rFonts w:ascii="Arial" w:hAnsi="Arial" w:cs="Arial"/>
                <w:sz w:val="20"/>
                <w:szCs w:val="20"/>
              </w:rPr>
            </w:pPr>
            <w:r>
              <w:rPr>
                <w:rFonts w:ascii="Arial" w:hAnsi="Arial" w:cs="Arial"/>
                <w:sz w:val="20"/>
                <w:szCs w:val="20"/>
              </w:rPr>
              <w:t>刘靖宇</w:t>
            </w:r>
          </w:p>
        </w:tc>
        <w:tc>
          <w:tcPr>
            <w:tcW w:w="1276" w:type="dxa"/>
            <w:vAlign w:val="center"/>
          </w:tcPr>
          <w:p w14:paraId="3ECDBD30">
            <w:pPr>
              <w:spacing w:line="360" w:lineRule="auto"/>
              <w:jc w:val="center"/>
              <w:rPr>
                <w:rFonts w:ascii="宋体" w:hAnsi="宋体" w:cs="宋体"/>
                <w:sz w:val="20"/>
                <w:szCs w:val="20"/>
              </w:rPr>
            </w:pPr>
            <w:r>
              <w:rPr>
                <w:rFonts w:hint="eastAsia" w:ascii="宋体" w:hAnsi="宋体" w:cs="宋体"/>
                <w:sz w:val="20"/>
                <w:szCs w:val="20"/>
              </w:rPr>
              <w:t>普刊</w:t>
            </w:r>
          </w:p>
        </w:tc>
        <w:tc>
          <w:tcPr>
            <w:tcW w:w="617" w:type="dxa"/>
            <w:vAlign w:val="center"/>
          </w:tcPr>
          <w:p w14:paraId="75DFAD75">
            <w:pPr>
              <w:spacing w:line="360" w:lineRule="auto"/>
              <w:jc w:val="center"/>
              <w:rPr>
                <w:rFonts w:ascii="宋体" w:hAnsi="宋体" w:cs="宋体"/>
                <w:sz w:val="20"/>
                <w:szCs w:val="20"/>
              </w:rPr>
            </w:pPr>
          </w:p>
        </w:tc>
      </w:tr>
    </w:tbl>
    <w:p w14:paraId="09EE3D2D">
      <w:pPr>
        <w:spacing w:line="360" w:lineRule="auto"/>
        <w:rPr>
          <w:rFonts w:ascii="黑体" w:hAnsi="黑体" w:eastAsia="黑体" w:cs="黑体"/>
          <w:sz w:val="24"/>
          <w:szCs w:val="24"/>
        </w:rPr>
      </w:pPr>
    </w:p>
    <w:p w14:paraId="17EA21CC">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2.学术著作</w:t>
      </w:r>
    </w:p>
    <w:p w14:paraId="0B59340D">
      <w:pPr>
        <w:pStyle w:val="2"/>
        <w:rPr>
          <w:rFonts w:ascii="宋体" w:hAnsi="宋体" w:cs="宋体"/>
          <w:szCs w:val="24"/>
        </w:rPr>
      </w:pPr>
      <w:r>
        <w:rPr>
          <w:rFonts w:hint="eastAsia" w:ascii="宋体" w:hAnsi="宋体" w:cs="宋体"/>
          <w:szCs w:val="24"/>
        </w:rPr>
        <w:t>《</w:t>
      </w:r>
      <w:r>
        <w:rPr>
          <w:rFonts w:ascii="宋体" w:hAnsi="宋体" w:cs="宋体"/>
          <w:szCs w:val="24"/>
        </w:rPr>
        <w:t>岭南文化资源融入高校人才培养策略研究</w:t>
      </w:r>
      <w:r>
        <w:rPr>
          <w:rFonts w:hint="eastAsia" w:ascii="宋体" w:hAnsi="宋体" w:cs="宋体"/>
          <w:szCs w:val="24"/>
        </w:rPr>
        <w:t>》（田野），已由中国华侨出版社出版。</w:t>
      </w:r>
    </w:p>
    <w:p w14:paraId="21303BFC">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3.</w:t>
      </w:r>
      <w:r>
        <w:rPr>
          <w:rFonts w:hint="eastAsia"/>
        </w:rPr>
        <w:t xml:space="preserve"> </w:t>
      </w:r>
      <w:r>
        <w:rPr>
          <w:rFonts w:ascii="黑体" w:hAnsi="黑体" w:eastAsia="黑体" w:cs="黑体"/>
          <w:sz w:val="24"/>
          <w:szCs w:val="24"/>
        </w:rPr>
        <w:t>决咨报告</w:t>
      </w:r>
    </w:p>
    <w:p w14:paraId="28FD4777">
      <w:pPr>
        <w:pStyle w:val="2"/>
      </w:pPr>
      <w:r>
        <w:t>《寻史东莞：寻访并传承东莞的革命事迹——中国近现代史纲要实践教学典型案例》</w:t>
      </w:r>
      <w:r>
        <w:rPr>
          <w:rFonts w:hint="eastAsia"/>
        </w:rPr>
        <w:t>（</w:t>
      </w:r>
      <w:r>
        <w:t>姚凯、王斌</w:t>
      </w:r>
      <w:r>
        <w:rPr>
          <w:rFonts w:hint="eastAsia"/>
        </w:rPr>
        <w:t>）</w:t>
      </w:r>
      <w:r>
        <w:t>，被教育部高等学校科学研究发展中心采纳。</w:t>
      </w:r>
    </w:p>
    <w:p w14:paraId="41372846">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（二）科研项目情况</w:t>
      </w:r>
    </w:p>
    <w:p w14:paraId="4C52D73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研究中心在2025年科研立项2项，其中广东</w:t>
      </w:r>
      <w:r>
        <w:rPr>
          <w:rFonts w:ascii="宋体" w:hAnsi="宋体" w:eastAsia="宋体" w:cs="宋体"/>
          <w:sz w:val="24"/>
          <w:szCs w:val="24"/>
        </w:rPr>
        <w:t>省高校思想政治教育</w:t>
      </w:r>
      <w:r>
        <w:rPr>
          <w:rFonts w:hint="eastAsia" w:ascii="宋体" w:hAnsi="宋体" w:eastAsia="宋体" w:cs="宋体"/>
          <w:sz w:val="24"/>
          <w:szCs w:val="24"/>
        </w:rPr>
        <w:t>项目1项，</w:t>
      </w:r>
      <w:r>
        <w:rPr>
          <w:rFonts w:ascii="宋体" w:hAnsi="宋体" w:eastAsia="宋体" w:cs="宋体"/>
          <w:sz w:val="24"/>
          <w:szCs w:val="24"/>
        </w:rPr>
        <w:t>教育部高校思想政治工作创新发展中心（武汉东湖学院）</w:t>
      </w:r>
      <w:r>
        <w:rPr>
          <w:rFonts w:hint="eastAsia" w:ascii="宋体" w:hAnsi="宋体" w:eastAsia="宋体" w:cs="宋体"/>
          <w:sz w:val="24"/>
          <w:szCs w:val="24"/>
        </w:rPr>
        <w:t>项目1项。</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843"/>
        <w:gridCol w:w="850"/>
        <w:gridCol w:w="1985"/>
        <w:gridCol w:w="992"/>
        <w:gridCol w:w="901"/>
      </w:tblGrid>
      <w:tr w14:paraId="3989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75541102">
            <w:pPr>
              <w:spacing w:line="360" w:lineRule="auto"/>
              <w:jc w:val="center"/>
              <w:rPr>
                <w:rFonts w:ascii="黑体" w:hAnsi="黑体" w:eastAsia="黑体" w:cs="黑体"/>
                <w:szCs w:val="21"/>
              </w:rPr>
            </w:pPr>
          </w:p>
          <w:p w14:paraId="09209267">
            <w:pPr>
              <w:spacing w:line="360" w:lineRule="auto"/>
              <w:jc w:val="center"/>
              <w:rPr>
                <w:rFonts w:ascii="黑体" w:hAnsi="黑体" w:eastAsia="黑体" w:cs="黑体"/>
                <w:szCs w:val="21"/>
              </w:rPr>
            </w:pPr>
            <w:r>
              <w:rPr>
                <w:rFonts w:hint="eastAsia" w:ascii="黑体" w:hAnsi="黑体" w:eastAsia="黑体" w:cs="黑体"/>
                <w:szCs w:val="21"/>
              </w:rPr>
              <w:t>项目名称</w:t>
            </w:r>
          </w:p>
          <w:p w14:paraId="259054BA">
            <w:pPr>
              <w:pStyle w:val="2"/>
              <w:rPr>
                <w:sz w:val="21"/>
                <w:szCs w:val="21"/>
              </w:rPr>
            </w:pPr>
          </w:p>
        </w:tc>
        <w:tc>
          <w:tcPr>
            <w:tcW w:w="1843" w:type="dxa"/>
          </w:tcPr>
          <w:p w14:paraId="3AD00588">
            <w:pPr>
              <w:spacing w:line="360" w:lineRule="auto"/>
              <w:jc w:val="center"/>
              <w:rPr>
                <w:rFonts w:ascii="黑体" w:hAnsi="黑体" w:eastAsia="黑体" w:cs="黑体"/>
                <w:szCs w:val="21"/>
              </w:rPr>
            </w:pPr>
          </w:p>
          <w:p w14:paraId="3285526C">
            <w:pPr>
              <w:spacing w:line="360" w:lineRule="auto"/>
              <w:jc w:val="center"/>
              <w:rPr>
                <w:rFonts w:ascii="黑体" w:hAnsi="黑体" w:eastAsia="黑体" w:cs="黑体"/>
                <w:szCs w:val="21"/>
              </w:rPr>
            </w:pPr>
            <w:r>
              <w:rPr>
                <w:rFonts w:hint="eastAsia" w:ascii="黑体" w:hAnsi="黑体" w:eastAsia="黑体" w:cs="黑体"/>
                <w:szCs w:val="21"/>
              </w:rPr>
              <w:t>项目批准号</w:t>
            </w:r>
          </w:p>
        </w:tc>
        <w:tc>
          <w:tcPr>
            <w:tcW w:w="850" w:type="dxa"/>
          </w:tcPr>
          <w:p w14:paraId="1E748947">
            <w:pPr>
              <w:spacing w:line="360" w:lineRule="auto"/>
              <w:jc w:val="center"/>
              <w:rPr>
                <w:rFonts w:ascii="黑体" w:hAnsi="黑体" w:eastAsia="黑体" w:cs="黑体"/>
                <w:szCs w:val="21"/>
              </w:rPr>
            </w:pPr>
          </w:p>
          <w:p w14:paraId="57AFB77B">
            <w:pPr>
              <w:spacing w:line="360" w:lineRule="auto"/>
              <w:jc w:val="center"/>
              <w:rPr>
                <w:rFonts w:ascii="黑体" w:hAnsi="黑体" w:eastAsia="黑体" w:cs="黑体"/>
                <w:szCs w:val="21"/>
              </w:rPr>
            </w:pPr>
            <w:r>
              <w:rPr>
                <w:rFonts w:hint="eastAsia" w:ascii="黑体" w:hAnsi="黑体" w:eastAsia="黑体" w:cs="黑体"/>
                <w:szCs w:val="21"/>
              </w:rPr>
              <w:t>项目负责人</w:t>
            </w:r>
          </w:p>
        </w:tc>
        <w:tc>
          <w:tcPr>
            <w:tcW w:w="1985" w:type="dxa"/>
          </w:tcPr>
          <w:p w14:paraId="02758231">
            <w:pPr>
              <w:spacing w:line="360" w:lineRule="auto"/>
              <w:jc w:val="center"/>
              <w:rPr>
                <w:rFonts w:ascii="黑体" w:hAnsi="黑体" w:eastAsia="黑体" w:cs="黑体"/>
                <w:szCs w:val="21"/>
              </w:rPr>
            </w:pPr>
          </w:p>
          <w:p w14:paraId="08FE65DD">
            <w:pPr>
              <w:spacing w:line="360" w:lineRule="auto"/>
              <w:jc w:val="center"/>
              <w:rPr>
                <w:rFonts w:ascii="黑体" w:hAnsi="黑体" w:eastAsia="黑体" w:cs="黑体"/>
                <w:szCs w:val="21"/>
              </w:rPr>
            </w:pPr>
            <w:r>
              <w:rPr>
                <w:rFonts w:hint="eastAsia" w:ascii="黑体" w:hAnsi="黑体" w:eastAsia="黑体" w:cs="黑体"/>
                <w:szCs w:val="21"/>
              </w:rPr>
              <w:t>项目类型</w:t>
            </w:r>
          </w:p>
        </w:tc>
        <w:tc>
          <w:tcPr>
            <w:tcW w:w="992" w:type="dxa"/>
          </w:tcPr>
          <w:p w14:paraId="0296D248">
            <w:pPr>
              <w:spacing w:line="360" w:lineRule="auto"/>
              <w:jc w:val="center"/>
              <w:rPr>
                <w:rFonts w:ascii="黑体" w:hAnsi="黑体" w:eastAsia="黑体" w:cs="黑体"/>
                <w:szCs w:val="21"/>
              </w:rPr>
            </w:pPr>
          </w:p>
          <w:p w14:paraId="07146029">
            <w:pPr>
              <w:spacing w:line="360" w:lineRule="auto"/>
              <w:jc w:val="center"/>
              <w:rPr>
                <w:rFonts w:ascii="黑体" w:hAnsi="黑体" w:eastAsia="黑体" w:cs="黑体"/>
                <w:szCs w:val="21"/>
              </w:rPr>
            </w:pPr>
            <w:r>
              <w:rPr>
                <w:rFonts w:hint="eastAsia" w:ascii="黑体" w:hAnsi="黑体" w:eastAsia="黑体" w:cs="黑体"/>
                <w:szCs w:val="21"/>
              </w:rPr>
              <w:t>下达</w:t>
            </w:r>
          </w:p>
          <w:p w14:paraId="63C778C8">
            <w:pPr>
              <w:spacing w:line="360" w:lineRule="auto"/>
              <w:jc w:val="center"/>
              <w:rPr>
                <w:rFonts w:ascii="黑体" w:hAnsi="黑体" w:eastAsia="黑体" w:cs="黑体"/>
                <w:szCs w:val="21"/>
              </w:rPr>
            </w:pPr>
            <w:r>
              <w:rPr>
                <w:rFonts w:hint="eastAsia" w:ascii="黑体" w:hAnsi="黑体" w:eastAsia="黑体" w:cs="黑体"/>
                <w:szCs w:val="21"/>
              </w:rPr>
              <w:t>时间</w:t>
            </w:r>
          </w:p>
        </w:tc>
        <w:tc>
          <w:tcPr>
            <w:tcW w:w="901" w:type="dxa"/>
          </w:tcPr>
          <w:p w14:paraId="297E553D">
            <w:pPr>
              <w:spacing w:line="360" w:lineRule="auto"/>
              <w:jc w:val="center"/>
              <w:rPr>
                <w:rFonts w:ascii="黑体" w:hAnsi="黑体" w:eastAsia="黑体" w:cs="黑体"/>
                <w:szCs w:val="21"/>
              </w:rPr>
            </w:pPr>
          </w:p>
          <w:p w14:paraId="651CCE9E">
            <w:pPr>
              <w:spacing w:line="360" w:lineRule="auto"/>
              <w:jc w:val="center"/>
              <w:rPr>
                <w:rFonts w:ascii="黑体" w:hAnsi="黑体" w:eastAsia="黑体" w:cs="黑体"/>
                <w:szCs w:val="21"/>
              </w:rPr>
            </w:pPr>
            <w:r>
              <w:rPr>
                <w:rFonts w:hint="eastAsia" w:ascii="黑体" w:hAnsi="黑体" w:eastAsia="黑体" w:cs="黑体"/>
                <w:szCs w:val="21"/>
              </w:rPr>
              <w:t>立项/结项</w:t>
            </w:r>
          </w:p>
        </w:tc>
      </w:tr>
      <w:tr w14:paraId="2E6B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1951" w:type="dxa"/>
            <w:vAlign w:val="center"/>
          </w:tcPr>
          <w:p w14:paraId="403CFE15">
            <w:pPr>
              <w:spacing w:line="360" w:lineRule="auto"/>
              <w:jc w:val="center"/>
              <w:rPr>
                <w:rFonts w:ascii="宋体" w:hAnsi="宋体" w:eastAsia="宋体" w:cs="宋体"/>
                <w:sz w:val="20"/>
                <w:szCs w:val="20"/>
              </w:rPr>
            </w:pPr>
            <w:r>
              <w:rPr>
                <w:rFonts w:ascii="宋体" w:hAnsi="宋体" w:eastAsia="宋体" w:cs="宋体"/>
                <w:sz w:val="20"/>
                <w:szCs w:val="20"/>
              </w:rPr>
              <w:t>马克思主义基本原理课程实践教学与红色资源深度融合的教学范式构建研究</w:t>
            </w:r>
          </w:p>
        </w:tc>
        <w:tc>
          <w:tcPr>
            <w:tcW w:w="1843" w:type="dxa"/>
            <w:vAlign w:val="center"/>
          </w:tcPr>
          <w:p w14:paraId="4F454BD6">
            <w:pPr>
              <w:spacing w:line="360" w:lineRule="auto"/>
              <w:jc w:val="center"/>
              <w:rPr>
                <w:rFonts w:ascii="宋体" w:hAnsi="宋体" w:eastAsia="宋体" w:cs="宋体"/>
                <w:sz w:val="20"/>
                <w:szCs w:val="20"/>
              </w:rPr>
            </w:pPr>
            <w:r>
              <w:rPr>
                <w:rFonts w:ascii="宋体" w:hAnsi="宋体" w:eastAsia="宋体" w:cs="宋体"/>
                <w:sz w:val="20"/>
                <w:szCs w:val="20"/>
              </w:rPr>
              <w:t>WHDHSZZX2025175</w:t>
            </w:r>
          </w:p>
        </w:tc>
        <w:tc>
          <w:tcPr>
            <w:tcW w:w="850" w:type="dxa"/>
            <w:vAlign w:val="center"/>
          </w:tcPr>
          <w:p w14:paraId="564ACDDC">
            <w:pPr>
              <w:spacing w:line="360" w:lineRule="auto"/>
              <w:rPr>
                <w:rFonts w:ascii="宋体" w:hAnsi="宋体" w:eastAsia="宋体" w:cs="宋体"/>
                <w:sz w:val="20"/>
                <w:szCs w:val="20"/>
              </w:rPr>
            </w:pPr>
            <w:r>
              <w:rPr>
                <w:rFonts w:hint="eastAsia" w:ascii="宋体" w:hAnsi="宋体" w:eastAsia="宋体" w:cs="宋体"/>
                <w:sz w:val="20"/>
                <w:szCs w:val="20"/>
              </w:rPr>
              <w:t>陈晓辰</w:t>
            </w:r>
          </w:p>
        </w:tc>
        <w:tc>
          <w:tcPr>
            <w:tcW w:w="1985" w:type="dxa"/>
            <w:vAlign w:val="center"/>
          </w:tcPr>
          <w:p w14:paraId="240E8933">
            <w:pPr>
              <w:spacing w:line="360" w:lineRule="auto"/>
              <w:jc w:val="center"/>
              <w:rPr>
                <w:rFonts w:ascii="宋体" w:hAnsi="宋体" w:eastAsia="宋体" w:cs="宋体"/>
                <w:sz w:val="20"/>
                <w:szCs w:val="20"/>
              </w:rPr>
            </w:pPr>
            <w:r>
              <w:rPr>
                <w:rFonts w:ascii="宋体" w:hAnsi="宋体" w:eastAsia="宋体" w:cs="宋体"/>
                <w:sz w:val="20"/>
                <w:szCs w:val="20"/>
              </w:rPr>
              <w:t>教育部高校思想政治工作创新发展中心（武汉东湖学院）</w:t>
            </w:r>
            <w:r>
              <w:rPr>
                <w:rFonts w:hint="eastAsia" w:ascii="宋体" w:hAnsi="宋体" w:eastAsia="宋体" w:cs="宋体"/>
                <w:sz w:val="20"/>
                <w:szCs w:val="20"/>
              </w:rPr>
              <w:t>指导性课题</w:t>
            </w:r>
          </w:p>
        </w:tc>
        <w:tc>
          <w:tcPr>
            <w:tcW w:w="992" w:type="dxa"/>
            <w:vAlign w:val="center"/>
          </w:tcPr>
          <w:p w14:paraId="3EFDABE5">
            <w:pPr>
              <w:spacing w:line="360" w:lineRule="auto"/>
              <w:jc w:val="center"/>
              <w:rPr>
                <w:rFonts w:ascii="宋体" w:hAnsi="宋体" w:eastAsia="宋体" w:cs="宋体"/>
                <w:sz w:val="20"/>
                <w:szCs w:val="20"/>
              </w:rPr>
            </w:pPr>
            <w:r>
              <w:rPr>
                <w:rFonts w:hint="eastAsia" w:ascii="宋体" w:hAnsi="宋体" w:eastAsia="宋体" w:cs="宋体"/>
                <w:sz w:val="20"/>
                <w:szCs w:val="20"/>
              </w:rPr>
              <w:t>2025.12</w:t>
            </w:r>
          </w:p>
        </w:tc>
        <w:tc>
          <w:tcPr>
            <w:tcW w:w="901" w:type="dxa"/>
            <w:vAlign w:val="center"/>
          </w:tcPr>
          <w:p w14:paraId="17FAE5E2">
            <w:pPr>
              <w:ind w:firstLine="100" w:firstLineChars="50"/>
              <w:rPr>
                <w:rFonts w:ascii="宋体" w:hAnsi="宋体" w:eastAsia="宋体" w:cs="宋体"/>
                <w:sz w:val="20"/>
                <w:szCs w:val="20"/>
              </w:rPr>
            </w:pPr>
            <w:r>
              <w:rPr>
                <w:rFonts w:hint="eastAsia" w:ascii="宋体" w:hAnsi="宋体" w:eastAsia="宋体" w:cs="宋体"/>
                <w:sz w:val="20"/>
                <w:szCs w:val="20"/>
              </w:rPr>
              <w:t>立项</w:t>
            </w:r>
          </w:p>
        </w:tc>
      </w:tr>
      <w:tr w14:paraId="7F4A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14:paraId="0CD3A482">
            <w:pPr>
              <w:spacing w:line="360" w:lineRule="auto"/>
              <w:jc w:val="center"/>
              <w:rPr>
                <w:rFonts w:ascii="宋体" w:hAnsi="宋体" w:eastAsia="宋体" w:cs="宋体"/>
                <w:sz w:val="20"/>
                <w:szCs w:val="20"/>
              </w:rPr>
            </w:pPr>
            <w:r>
              <w:rPr>
                <w:rFonts w:ascii="宋体" w:hAnsi="宋体" w:eastAsia="宋体" w:cs="宋体"/>
                <w:sz w:val="20"/>
                <w:szCs w:val="20"/>
              </w:rPr>
              <w:t>习近平文化思想融入高校思政课教学的机制和路径研究</w:t>
            </w:r>
          </w:p>
        </w:tc>
        <w:tc>
          <w:tcPr>
            <w:tcW w:w="1843" w:type="dxa"/>
            <w:vAlign w:val="center"/>
          </w:tcPr>
          <w:p w14:paraId="22725F5E">
            <w:pPr>
              <w:spacing w:line="360" w:lineRule="auto"/>
              <w:jc w:val="center"/>
              <w:rPr>
                <w:rFonts w:ascii="宋体" w:hAnsi="宋体" w:eastAsia="宋体" w:cs="宋体"/>
                <w:sz w:val="20"/>
                <w:szCs w:val="20"/>
              </w:rPr>
            </w:pPr>
            <w:r>
              <w:rPr>
                <w:rFonts w:ascii="宋体" w:hAnsi="宋体" w:eastAsia="宋体" w:cs="宋体"/>
                <w:sz w:val="20"/>
                <w:szCs w:val="20"/>
              </w:rPr>
              <w:t>2025GXSZ117</w:t>
            </w:r>
          </w:p>
        </w:tc>
        <w:tc>
          <w:tcPr>
            <w:tcW w:w="850" w:type="dxa"/>
            <w:vAlign w:val="center"/>
          </w:tcPr>
          <w:p w14:paraId="7923A927">
            <w:pPr>
              <w:spacing w:line="360" w:lineRule="auto"/>
              <w:rPr>
                <w:rFonts w:ascii="宋体" w:hAnsi="宋体" w:eastAsia="宋体" w:cs="宋体"/>
                <w:sz w:val="20"/>
                <w:szCs w:val="20"/>
              </w:rPr>
            </w:pPr>
            <w:r>
              <w:rPr>
                <w:rFonts w:hint="eastAsia" w:ascii="宋体" w:hAnsi="宋体" w:eastAsia="宋体" w:cs="宋体"/>
                <w:sz w:val="20"/>
                <w:szCs w:val="20"/>
              </w:rPr>
              <w:t>李英</w:t>
            </w:r>
          </w:p>
        </w:tc>
        <w:tc>
          <w:tcPr>
            <w:tcW w:w="1985" w:type="dxa"/>
            <w:vAlign w:val="center"/>
          </w:tcPr>
          <w:p w14:paraId="4B7D5CB9">
            <w:pPr>
              <w:spacing w:line="360" w:lineRule="auto"/>
              <w:jc w:val="center"/>
              <w:rPr>
                <w:rFonts w:ascii="宋体" w:hAnsi="宋体" w:eastAsia="宋体" w:cs="宋体"/>
                <w:sz w:val="20"/>
                <w:szCs w:val="20"/>
              </w:rPr>
            </w:pPr>
            <w:r>
              <w:rPr>
                <w:rFonts w:ascii="宋体" w:hAnsi="宋体" w:eastAsia="宋体" w:cs="宋体"/>
                <w:sz w:val="20"/>
                <w:szCs w:val="20"/>
              </w:rPr>
              <w:t>广东省高校思想政治教育课题</w:t>
            </w:r>
          </w:p>
        </w:tc>
        <w:tc>
          <w:tcPr>
            <w:tcW w:w="992" w:type="dxa"/>
            <w:vAlign w:val="center"/>
          </w:tcPr>
          <w:p w14:paraId="7622C134">
            <w:pPr>
              <w:spacing w:line="360" w:lineRule="auto"/>
              <w:jc w:val="center"/>
              <w:rPr>
                <w:rFonts w:ascii="宋体" w:hAnsi="宋体" w:eastAsia="宋体" w:cs="宋体"/>
                <w:sz w:val="20"/>
                <w:szCs w:val="20"/>
              </w:rPr>
            </w:pPr>
            <w:r>
              <w:rPr>
                <w:rFonts w:hint="eastAsia" w:ascii="宋体" w:hAnsi="宋体" w:eastAsia="宋体" w:cs="宋体"/>
                <w:sz w:val="20"/>
                <w:szCs w:val="20"/>
              </w:rPr>
              <w:t>2026.3</w:t>
            </w:r>
          </w:p>
        </w:tc>
        <w:tc>
          <w:tcPr>
            <w:tcW w:w="901" w:type="dxa"/>
            <w:vAlign w:val="center"/>
          </w:tcPr>
          <w:p w14:paraId="46B5D1A4">
            <w:pPr>
              <w:spacing w:line="360" w:lineRule="auto"/>
              <w:rPr>
                <w:rFonts w:ascii="宋体" w:hAnsi="宋体" w:eastAsia="宋体" w:cs="宋体"/>
                <w:sz w:val="20"/>
                <w:szCs w:val="20"/>
              </w:rPr>
            </w:pPr>
            <w:r>
              <w:rPr>
                <w:rFonts w:hint="eastAsia" w:ascii="宋体" w:hAnsi="宋体" w:eastAsia="宋体" w:cs="宋体"/>
                <w:sz w:val="20"/>
                <w:szCs w:val="20"/>
              </w:rPr>
              <w:t>立项</w:t>
            </w:r>
          </w:p>
        </w:tc>
      </w:tr>
    </w:tbl>
    <w:p w14:paraId="3C535199">
      <w:pPr>
        <w:spacing w:line="360" w:lineRule="auto"/>
        <w:ind w:firstLine="480" w:firstLineChars="200"/>
        <w:rPr>
          <w:rFonts w:ascii="黑体" w:hAnsi="黑体" w:eastAsia="黑体" w:cs="黑体"/>
          <w:sz w:val="24"/>
          <w:szCs w:val="24"/>
        </w:rPr>
      </w:pPr>
    </w:p>
    <w:p w14:paraId="05D50B92">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（三）学术活动情况</w:t>
      </w:r>
    </w:p>
    <w:p w14:paraId="455A4098">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1.举办</w:t>
      </w:r>
      <w:r>
        <w:rPr>
          <w:rFonts w:ascii="黑体" w:hAnsi="黑体" w:eastAsia="黑体" w:cs="黑体"/>
          <w:sz w:val="24"/>
          <w:szCs w:val="24"/>
        </w:rPr>
        <w:t>2025年“东莞红色文化研究中心”学术研讨会</w:t>
      </w:r>
    </w:p>
    <w:p w14:paraId="48012833">
      <w:pPr>
        <w:spacing w:line="360" w:lineRule="auto"/>
        <w:ind w:firstLine="480" w:firstLineChars="200"/>
        <w:rPr>
          <w:rFonts w:ascii="宋体" w:hAnsi="宋体" w:eastAsia="宋体" w:cs="宋体"/>
          <w:sz w:val="24"/>
          <w:szCs w:val="24"/>
        </w:rPr>
      </w:pPr>
      <w:r>
        <w:rPr>
          <w:rFonts w:ascii="宋体" w:hAnsi="宋体" w:eastAsia="宋体" w:cs="宋体"/>
          <w:sz w:val="24"/>
          <w:szCs w:val="24"/>
        </w:rPr>
        <w:t>11月22日</w:t>
      </w:r>
      <w:r>
        <w:rPr>
          <w:rFonts w:hint="eastAsia" w:ascii="宋体" w:hAnsi="宋体" w:eastAsia="宋体" w:cs="宋体"/>
          <w:sz w:val="24"/>
          <w:szCs w:val="24"/>
        </w:rPr>
        <w:t>，在广东科技学院</w:t>
      </w:r>
      <w:r>
        <w:rPr>
          <w:rFonts w:ascii="宋体" w:hAnsi="宋体" w:eastAsia="宋体" w:cs="宋体"/>
          <w:sz w:val="24"/>
          <w:szCs w:val="24"/>
        </w:rPr>
        <w:t>松山湖校区5-102报告厅成功举办2025年“东莞红色文化研究中心”学术研讨会</w:t>
      </w:r>
      <w:r>
        <w:rPr>
          <w:rFonts w:hint="eastAsia" w:ascii="宋体" w:hAnsi="宋体" w:eastAsia="宋体" w:cs="宋体"/>
          <w:sz w:val="24"/>
          <w:szCs w:val="24"/>
        </w:rPr>
        <w:t>。</w:t>
      </w:r>
      <w:r>
        <w:rPr>
          <w:rFonts w:ascii="宋体" w:hAnsi="宋体" w:eastAsia="宋体" w:cs="宋体"/>
          <w:sz w:val="24"/>
          <w:szCs w:val="24"/>
        </w:rPr>
        <w:t>此次会议以“承继与发展：面向未来的红色文化”为主题，来自中山大学、华南理工大学、华南农业大学、广东财经大学、东莞市社会科学院、东江纵队历史研究会、广东科技学院等院校和机构的七位专家、学者先后作了主旨报告，围绕红色文化的传承、传播与创新发展展开深度交流</w:t>
      </w:r>
      <w:r>
        <w:rPr>
          <w:rFonts w:hint="eastAsia" w:ascii="宋体" w:hAnsi="宋体" w:eastAsia="宋体" w:cs="宋体"/>
          <w:sz w:val="24"/>
          <w:szCs w:val="24"/>
        </w:rPr>
        <w:t>。</w:t>
      </w:r>
      <w:r>
        <w:rPr>
          <w:rFonts w:ascii="宋体" w:hAnsi="宋体" w:eastAsia="宋体" w:cs="宋体"/>
          <w:sz w:val="24"/>
          <w:szCs w:val="24"/>
        </w:rPr>
        <w:t>会议通过跨学科、多视角的交流，深化了对红色文化当代价值的认识，为推动红色文化在新时代的创新性发展贡献了智慧与力量</w:t>
      </w:r>
      <w:r>
        <w:rPr>
          <w:rFonts w:hint="eastAsia" w:ascii="宋体" w:hAnsi="宋体" w:eastAsia="宋体" w:cs="宋体"/>
          <w:sz w:val="24"/>
          <w:szCs w:val="24"/>
        </w:rPr>
        <w:t>，</w:t>
      </w:r>
      <w:r>
        <w:rPr>
          <w:rFonts w:ascii="宋体" w:hAnsi="宋体" w:eastAsia="宋体" w:cs="宋体"/>
          <w:sz w:val="24"/>
          <w:szCs w:val="24"/>
        </w:rPr>
        <w:t>为新时代红色文化的创新性发展提供了多元思路。</w:t>
      </w:r>
    </w:p>
    <w:p w14:paraId="5549668E">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2.</w:t>
      </w:r>
      <w:r>
        <w:rPr>
          <w:rFonts w:hint="eastAsia"/>
        </w:rPr>
        <w:t xml:space="preserve"> </w:t>
      </w:r>
      <w:r>
        <w:rPr>
          <w:rFonts w:hint="eastAsia" w:ascii="黑体" w:hAnsi="黑体" w:eastAsia="黑体" w:cs="黑体"/>
          <w:sz w:val="24"/>
          <w:szCs w:val="24"/>
        </w:rPr>
        <w:t>开展</w:t>
      </w:r>
      <w:r>
        <w:rPr>
          <w:rFonts w:ascii="黑体" w:hAnsi="黑体" w:eastAsia="黑体" w:cs="黑体"/>
          <w:sz w:val="24"/>
          <w:szCs w:val="24"/>
        </w:rPr>
        <w:t>“红色印记”学术征文活动</w:t>
      </w:r>
    </w:p>
    <w:p w14:paraId="20D12C6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深入贯彻落实习近平总书记关于红色文化的重要论述，充分挖掘与利用红色文化资源，传承红色基因、弘扬红色传统，进一步推动高校间科研合作、人才培养与学术交流，研究中心于2025年11月举办主题为“红色印记”的红色文化学术征文研讨活动。征文围绕“习近平文化思想”“红色文化”“东莞红色文化”三大方向，20余个主题展开征稿。活动受到各界的广泛关注与相关学者的积极来稿，经</w:t>
      </w:r>
      <w:r>
        <w:rPr>
          <w:rFonts w:ascii="Helvetica" w:hAnsi="Helvetica" w:eastAsia="宋体" w:cs="Helvetica"/>
          <w:kern w:val="0"/>
          <w:sz w:val="24"/>
          <w:szCs w:val="24"/>
        </w:rPr>
        <w:t>东莞红色文化中心组委</w:t>
      </w:r>
      <w:r>
        <w:rPr>
          <w:rFonts w:hint="eastAsia" w:ascii="Helvetica" w:hAnsi="Helvetica" w:eastAsia="宋体" w:cs="Helvetica"/>
          <w:kern w:val="0"/>
          <w:sz w:val="24"/>
          <w:szCs w:val="24"/>
        </w:rPr>
        <w:t>会组织</w:t>
      </w:r>
      <w:r>
        <w:rPr>
          <w:rFonts w:hint="eastAsia" w:ascii="宋体" w:hAnsi="宋体" w:eastAsia="宋体" w:cs="宋体"/>
          <w:sz w:val="24"/>
          <w:szCs w:val="24"/>
        </w:rPr>
        <w:t>专家评审，最终评选出一等奖2名、二等奖4名、三等奖8名及若干优秀奖，获奖论文择优收录至《东莞红色文化中心“红色印记”第一期理论研讨会论文集》。</w:t>
      </w:r>
    </w:p>
    <w:p w14:paraId="3871F819">
      <w:pPr>
        <w:numPr>
          <w:ilvl w:val="0"/>
          <w:numId w:val="1"/>
        </w:numPr>
        <w:spacing w:line="360" w:lineRule="auto"/>
        <w:ind w:firstLine="480" w:firstLineChars="20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人才培养</w:t>
      </w:r>
    </w:p>
    <w:p w14:paraId="14CC3C6F">
      <w:pPr>
        <w:pStyle w:val="2"/>
        <w:numPr>
          <w:numId w:val="0"/>
        </w:numPr>
        <w:rPr>
          <w:rFonts w:hint="default"/>
          <w:lang w:val="en-US" w:eastAsia="zh-CN"/>
        </w:rPr>
      </w:pPr>
      <w:r>
        <w:rPr>
          <w:rFonts w:hint="eastAsia"/>
          <w:lang w:val="en-US" w:eastAsia="zh-CN"/>
        </w:rPr>
        <w:t xml:space="preserve">    2025年中心加强人才培养工作，1人晋升教授职称（李赫男），2人晋升副教授职称（王磊、王艳）。</w:t>
      </w:r>
    </w:p>
    <w:p w14:paraId="3FF8A60C">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w:t>
      </w:r>
      <w:r>
        <w:rPr>
          <w:rFonts w:hint="eastAsia" w:ascii="黑体" w:hAnsi="黑体" w:eastAsia="黑体" w:cs="黑体"/>
          <w:sz w:val="24"/>
          <w:szCs w:val="24"/>
          <w:lang w:val="en-US" w:eastAsia="zh-CN"/>
        </w:rPr>
        <w:t>五</w:t>
      </w:r>
      <w:r>
        <w:rPr>
          <w:rFonts w:hint="eastAsia" w:ascii="黑体" w:hAnsi="黑体" w:eastAsia="黑体" w:cs="黑体"/>
          <w:sz w:val="24"/>
          <w:szCs w:val="24"/>
        </w:rPr>
        <w:t>)管理运行情况</w:t>
      </w:r>
    </w:p>
    <w:p w14:paraId="18501B7A">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1.经费支持</w:t>
      </w:r>
    </w:p>
    <w:p w14:paraId="2069A019">
      <w:pPr>
        <w:spacing w:line="360" w:lineRule="auto"/>
        <w:ind w:firstLine="480" w:firstLineChars="200"/>
        <w:rPr>
          <w:rFonts w:ascii="宋体" w:hAnsi="宋体" w:eastAsia="宋体" w:cs="宋体"/>
          <w:sz w:val="24"/>
          <w:szCs w:val="24"/>
        </w:rPr>
      </w:pPr>
      <w:r>
        <w:rPr>
          <w:rFonts w:ascii="宋体" w:hAnsi="宋体" w:eastAsia="宋体" w:cs="宋体"/>
          <w:sz w:val="24"/>
          <w:szCs w:val="24"/>
        </w:rPr>
        <w:t>广东科技学院高度重视研究中心工作，</w:t>
      </w:r>
      <w:r>
        <w:rPr>
          <w:rFonts w:hint="eastAsia" w:ascii="宋体" w:hAnsi="宋体" w:eastAsia="宋体" w:cs="宋体"/>
          <w:sz w:val="24"/>
          <w:szCs w:val="24"/>
        </w:rPr>
        <w:t>多次过问研究中心工作并给予具体指导，从经费上大力支持研究中心开展研究工作。</w:t>
      </w:r>
      <w:r>
        <w:rPr>
          <w:rFonts w:ascii="宋体" w:hAnsi="宋体" w:eastAsia="宋体" w:cs="宋体"/>
          <w:sz w:val="24"/>
          <w:szCs w:val="24"/>
        </w:rPr>
        <w:t>研究中心建设配套经费，参照广东科技学院关于建设高校重点研究平台的资助标准（40万元/年）给予支持，配套经费按照“统一预算、专款专用”的原则管理，并依照学校相关科研经费管理办法使用</w:t>
      </w:r>
      <w:r>
        <w:rPr>
          <w:rFonts w:hint="eastAsia" w:ascii="宋体" w:hAnsi="宋体" w:eastAsia="宋体" w:cs="宋体"/>
          <w:sz w:val="24"/>
          <w:szCs w:val="24"/>
        </w:rPr>
        <w:t>，</w:t>
      </w:r>
      <w:r>
        <w:rPr>
          <w:rFonts w:ascii="宋体" w:hAnsi="宋体" w:eastAsia="宋体" w:cs="宋体"/>
          <w:sz w:val="24"/>
          <w:szCs w:val="24"/>
        </w:rPr>
        <w:t>全力保障研究中心的科研成果出版、学术交流活动、外出访学调研等工作顺利开展。</w:t>
      </w:r>
    </w:p>
    <w:p w14:paraId="7723FF04">
      <w:pPr>
        <w:spacing w:line="360" w:lineRule="auto"/>
        <w:ind w:firstLine="480" w:firstLineChars="200"/>
        <w:rPr>
          <w:rFonts w:ascii="宋体" w:hAnsi="宋体" w:eastAsia="宋体" w:cs="宋体"/>
          <w:b/>
          <w:bCs/>
          <w:sz w:val="24"/>
          <w:szCs w:val="24"/>
        </w:rPr>
      </w:pPr>
      <w:r>
        <w:rPr>
          <w:rFonts w:hint="eastAsia" w:ascii="黑体" w:hAnsi="黑体" w:eastAsia="黑体" w:cs="黑体"/>
          <w:sz w:val="24"/>
          <w:szCs w:val="24"/>
        </w:rPr>
        <w:t>2.办公场地</w:t>
      </w:r>
    </w:p>
    <w:p w14:paraId="7D9CC7EF">
      <w:pPr>
        <w:spacing w:line="360" w:lineRule="auto"/>
        <w:ind w:firstLine="480" w:firstLineChars="200"/>
        <w:rPr>
          <w:rFonts w:ascii="宋体" w:hAnsi="宋体" w:eastAsia="宋体" w:cs="宋体"/>
          <w:sz w:val="24"/>
          <w:szCs w:val="24"/>
        </w:rPr>
      </w:pPr>
      <w:r>
        <w:rPr>
          <w:rFonts w:ascii="宋体" w:hAnsi="宋体" w:eastAsia="宋体" w:cs="宋体"/>
          <w:sz w:val="24"/>
          <w:szCs w:val="24"/>
        </w:rPr>
        <w:t>研究中心选址广东科技学院马克思主义学院办公区5-305室为专属办公场所，齐全的办公设备与安静的科研环境为研究中心高水平成果产出创造完善的物质条件。</w:t>
      </w:r>
    </w:p>
    <w:p w14:paraId="6935E3A0">
      <w:pPr>
        <w:pStyle w:val="5"/>
        <w:spacing w:line="440" w:lineRule="exact"/>
        <w:ind w:firstLine="0" w:firstLineChars="0"/>
        <w:jc w:val="center"/>
        <w:rPr>
          <w:rFonts w:ascii="仿宋_GB2312" w:hAnsi="黑体" w:eastAsia="仿宋_GB2312" w:cs="黑体"/>
          <w:b/>
          <w:sz w:val="22"/>
          <w:szCs w:val="22"/>
          <w:lang w:val="en-US"/>
        </w:rPr>
      </w:pPr>
      <w:r>
        <w:rPr>
          <w:rFonts w:hint="eastAsia" w:ascii="仿宋_GB2312" w:hAnsi="黑体" w:eastAsia="仿宋_GB2312" w:cs="黑体"/>
          <w:b/>
          <w:sz w:val="22"/>
          <w:szCs w:val="22"/>
          <w:lang w:val="en-US"/>
        </w:rPr>
        <w:t>东莞红色文化研究中心办公场地与设施设备</w:t>
      </w:r>
    </w:p>
    <w:tbl>
      <w:tblPr>
        <w:tblStyle w:val="7"/>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66"/>
      </w:tblGrid>
      <w:tr w14:paraId="538C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268" w:type="dxa"/>
            <w:vAlign w:val="center"/>
          </w:tcPr>
          <w:p w14:paraId="536A5694">
            <w:pPr>
              <w:jc w:val="center"/>
              <w:rPr>
                <w:rFonts w:ascii="仿宋_GB2312" w:hAnsi="黑体" w:eastAsia="仿宋_GB2312" w:cs="黑体"/>
                <w:b/>
                <w:sz w:val="22"/>
                <w:szCs w:val="21"/>
              </w:rPr>
            </w:pPr>
            <w:r>
              <w:rPr>
                <w:rFonts w:hint="eastAsia" w:ascii="仿宋_GB2312" w:hAnsi="黑体" w:eastAsia="仿宋_GB2312" w:cs="黑体"/>
                <w:b/>
                <w:sz w:val="22"/>
                <w:szCs w:val="21"/>
              </w:rPr>
              <w:t>配套设施</w:t>
            </w:r>
          </w:p>
        </w:tc>
        <w:tc>
          <w:tcPr>
            <w:tcW w:w="6166" w:type="dxa"/>
            <w:vAlign w:val="center"/>
          </w:tcPr>
          <w:p w14:paraId="3188435C">
            <w:pPr>
              <w:jc w:val="center"/>
              <w:rPr>
                <w:rFonts w:ascii="仿宋_GB2312" w:hAnsi="黑体" w:eastAsia="仿宋_GB2312" w:cs="黑体"/>
                <w:b/>
                <w:sz w:val="22"/>
                <w:szCs w:val="21"/>
              </w:rPr>
            </w:pPr>
            <w:r>
              <w:rPr>
                <w:rFonts w:hint="eastAsia" w:ascii="仿宋_GB2312" w:hAnsi="黑体" w:eastAsia="仿宋_GB2312" w:cs="黑体"/>
                <w:b/>
                <w:sz w:val="22"/>
                <w:szCs w:val="21"/>
              </w:rPr>
              <w:t>功能简介</w:t>
            </w:r>
          </w:p>
        </w:tc>
      </w:tr>
      <w:tr w14:paraId="269D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268" w:type="dxa"/>
            <w:vAlign w:val="center"/>
          </w:tcPr>
          <w:p w14:paraId="5E9B39DA">
            <w:pPr>
              <w:jc w:val="center"/>
              <w:rPr>
                <w:rFonts w:ascii="仿宋_GB2312" w:eastAsia="仿宋_GB2312"/>
                <w:sz w:val="22"/>
                <w:szCs w:val="21"/>
              </w:rPr>
            </w:pPr>
            <w:r>
              <w:rPr>
                <w:rFonts w:hint="eastAsia" w:ascii="仿宋_GB2312" w:hAnsi="仿宋" w:eastAsia="仿宋_GB2312"/>
                <w:sz w:val="22"/>
                <w:szCs w:val="21"/>
              </w:rPr>
              <w:t>5-305办公室</w:t>
            </w:r>
          </w:p>
        </w:tc>
        <w:tc>
          <w:tcPr>
            <w:tcW w:w="6166" w:type="dxa"/>
            <w:vAlign w:val="center"/>
          </w:tcPr>
          <w:p w14:paraId="0407498C">
            <w:pPr>
              <w:jc w:val="center"/>
              <w:rPr>
                <w:rFonts w:ascii="仿宋_GB2312" w:eastAsia="仿宋_GB2312"/>
                <w:sz w:val="22"/>
                <w:szCs w:val="21"/>
              </w:rPr>
            </w:pPr>
            <w:r>
              <w:rPr>
                <w:rFonts w:hint="eastAsia" w:ascii="仿宋_GB2312" w:hAnsi="仿宋" w:eastAsia="仿宋_GB2312"/>
                <w:sz w:val="22"/>
                <w:szCs w:val="21"/>
              </w:rPr>
              <w:t>研究中心</w:t>
            </w:r>
            <w:r>
              <w:rPr>
                <w:rFonts w:hint="eastAsia" w:ascii="仿宋_GB2312" w:eastAsia="仿宋_GB2312"/>
                <w:sz w:val="22"/>
                <w:szCs w:val="21"/>
              </w:rPr>
              <w:t>专属办公场所（挂牌）</w:t>
            </w:r>
          </w:p>
        </w:tc>
      </w:tr>
      <w:tr w14:paraId="4C42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268" w:type="dxa"/>
            <w:vAlign w:val="center"/>
          </w:tcPr>
          <w:p w14:paraId="7A00624E">
            <w:pPr>
              <w:jc w:val="center"/>
              <w:rPr>
                <w:rFonts w:ascii="仿宋_GB2312" w:eastAsia="仿宋_GB2312"/>
                <w:sz w:val="22"/>
                <w:szCs w:val="21"/>
              </w:rPr>
            </w:pPr>
            <w:r>
              <w:rPr>
                <w:rFonts w:hint="eastAsia" w:ascii="仿宋_GB2312" w:hAnsi="仿宋" w:eastAsia="仿宋_GB2312"/>
                <w:sz w:val="22"/>
                <w:szCs w:val="21"/>
              </w:rPr>
              <w:t>5-309会议室</w:t>
            </w:r>
          </w:p>
        </w:tc>
        <w:tc>
          <w:tcPr>
            <w:tcW w:w="6166" w:type="dxa"/>
            <w:vAlign w:val="center"/>
          </w:tcPr>
          <w:p w14:paraId="7BC83FBF">
            <w:pPr>
              <w:jc w:val="center"/>
              <w:rPr>
                <w:rFonts w:ascii="仿宋_GB2312" w:eastAsia="仿宋_GB2312"/>
                <w:sz w:val="22"/>
                <w:szCs w:val="21"/>
              </w:rPr>
            </w:pPr>
            <w:r>
              <w:rPr>
                <w:rFonts w:hint="eastAsia" w:ascii="仿宋_GB2312" w:hAnsi="仿宋" w:eastAsia="仿宋_GB2312"/>
                <w:sz w:val="22"/>
                <w:szCs w:val="21"/>
              </w:rPr>
              <w:t>研究中心小型会议与研讨专属场地</w:t>
            </w:r>
          </w:p>
        </w:tc>
      </w:tr>
      <w:tr w14:paraId="0230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268" w:type="dxa"/>
            <w:vAlign w:val="center"/>
          </w:tcPr>
          <w:p w14:paraId="2C7C44EB">
            <w:pPr>
              <w:jc w:val="center"/>
              <w:rPr>
                <w:rFonts w:ascii="仿宋_GB2312" w:eastAsia="仿宋_GB2312"/>
                <w:sz w:val="22"/>
                <w:szCs w:val="21"/>
              </w:rPr>
            </w:pPr>
            <w:r>
              <w:rPr>
                <w:rFonts w:hint="eastAsia" w:ascii="仿宋_GB2312" w:hAnsi="仿宋" w:eastAsia="仿宋_GB2312"/>
                <w:sz w:val="22"/>
                <w:szCs w:val="21"/>
              </w:rPr>
              <w:t>5-101礼堂</w:t>
            </w:r>
          </w:p>
        </w:tc>
        <w:tc>
          <w:tcPr>
            <w:tcW w:w="6166" w:type="dxa"/>
            <w:vAlign w:val="center"/>
          </w:tcPr>
          <w:p w14:paraId="366CACDC">
            <w:pPr>
              <w:jc w:val="center"/>
              <w:rPr>
                <w:rFonts w:ascii="仿宋_GB2312" w:eastAsia="仿宋_GB2312"/>
                <w:sz w:val="22"/>
                <w:szCs w:val="21"/>
              </w:rPr>
            </w:pPr>
            <w:r>
              <w:rPr>
                <w:rFonts w:hint="eastAsia" w:ascii="仿宋_GB2312" w:hAnsi="仿宋" w:eastAsia="仿宋_GB2312"/>
                <w:sz w:val="22"/>
                <w:szCs w:val="21"/>
              </w:rPr>
              <w:t>研究中心年度学术交流与讲座专属场所</w:t>
            </w:r>
          </w:p>
        </w:tc>
      </w:tr>
      <w:tr w14:paraId="3A08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268" w:type="dxa"/>
            <w:vAlign w:val="center"/>
          </w:tcPr>
          <w:p w14:paraId="10B9D3CF">
            <w:pPr>
              <w:jc w:val="center"/>
              <w:rPr>
                <w:rFonts w:ascii="仿宋_GB2312" w:eastAsia="仿宋_GB2312"/>
                <w:sz w:val="22"/>
                <w:szCs w:val="21"/>
              </w:rPr>
            </w:pPr>
            <w:r>
              <w:rPr>
                <w:rFonts w:hint="eastAsia" w:ascii="仿宋_GB2312" w:eastAsia="仿宋_GB2312"/>
                <w:sz w:val="22"/>
                <w:szCs w:val="21"/>
              </w:rPr>
              <w:t>办公电脑</w:t>
            </w:r>
            <w:r>
              <w:rPr>
                <w:rFonts w:hint="eastAsia" w:ascii="仿宋_GB2312" w:hAnsi="仿宋" w:eastAsia="仿宋_GB2312"/>
                <w:sz w:val="22"/>
                <w:szCs w:val="21"/>
              </w:rPr>
              <w:t>40</w:t>
            </w:r>
            <w:r>
              <w:rPr>
                <w:rFonts w:hint="eastAsia" w:ascii="仿宋_GB2312" w:eastAsia="仿宋_GB2312"/>
                <w:sz w:val="22"/>
                <w:szCs w:val="21"/>
              </w:rPr>
              <w:t>台</w:t>
            </w:r>
          </w:p>
        </w:tc>
        <w:tc>
          <w:tcPr>
            <w:tcW w:w="6166" w:type="dxa"/>
            <w:vAlign w:val="center"/>
          </w:tcPr>
          <w:p w14:paraId="43FF73C2">
            <w:pPr>
              <w:jc w:val="center"/>
              <w:rPr>
                <w:rFonts w:ascii="仿宋_GB2312" w:eastAsia="仿宋_GB2312"/>
                <w:sz w:val="22"/>
                <w:szCs w:val="21"/>
              </w:rPr>
            </w:pPr>
            <w:r>
              <w:rPr>
                <w:rFonts w:hint="eastAsia" w:ascii="仿宋_GB2312" w:eastAsia="仿宋_GB2312"/>
                <w:sz w:val="22"/>
                <w:szCs w:val="21"/>
              </w:rPr>
              <w:t>科研专用，全部链接学校图书馆各大检索平台</w:t>
            </w:r>
          </w:p>
        </w:tc>
      </w:tr>
      <w:tr w14:paraId="56D5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8434" w:type="dxa"/>
            <w:gridSpan w:val="2"/>
            <w:vAlign w:val="center"/>
          </w:tcPr>
          <w:p w14:paraId="7B35B7B2">
            <w:pPr>
              <w:jc w:val="center"/>
              <w:rPr>
                <w:rFonts w:ascii="仿宋_GB2312" w:eastAsia="仿宋_GB2312"/>
                <w:sz w:val="22"/>
                <w:szCs w:val="21"/>
              </w:rPr>
            </w:pPr>
            <w:r>
              <w:rPr>
                <w:rFonts w:hint="eastAsia" w:ascii="仿宋_GB2312" w:eastAsia="仿宋_GB2312"/>
                <w:sz w:val="22"/>
                <w:szCs w:val="21"/>
              </w:rPr>
              <w:t>备注：</w:t>
            </w:r>
            <w:r>
              <w:rPr>
                <w:rFonts w:hint="eastAsia" w:ascii="仿宋_GB2312" w:hAnsi="仿宋" w:eastAsia="仿宋_GB2312"/>
                <w:sz w:val="22"/>
                <w:szCs w:val="21"/>
              </w:rPr>
              <w:t>所有专属场所均匹配专项安全设施与安全管理人员。</w:t>
            </w:r>
          </w:p>
        </w:tc>
      </w:tr>
    </w:tbl>
    <w:p w14:paraId="77927507">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3.研究人员</w:t>
      </w:r>
    </w:p>
    <w:p w14:paraId="6CE0F031">
      <w:pPr>
        <w:spacing w:line="360" w:lineRule="auto"/>
        <w:ind w:firstLine="480" w:firstLineChars="200"/>
        <w:rPr>
          <w:rFonts w:ascii="宋体" w:hAnsi="宋体" w:eastAsia="宋体" w:cs="宋体"/>
          <w:sz w:val="24"/>
          <w:szCs w:val="24"/>
        </w:rPr>
      </w:pPr>
      <w:r>
        <w:rPr>
          <w:rFonts w:ascii="宋体" w:hAnsi="宋体" w:eastAsia="宋体" w:cs="宋体"/>
          <w:sz w:val="24"/>
          <w:szCs w:val="24"/>
        </w:rPr>
        <w:t>研究中心</w:t>
      </w:r>
      <w:r>
        <w:rPr>
          <w:rFonts w:hint="eastAsia" w:ascii="宋体" w:hAnsi="宋体" w:eastAsia="宋体" w:cs="宋体"/>
          <w:sz w:val="24"/>
          <w:szCs w:val="24"/>
        </w:rPr>
        <w:t>研究人员共</w:t>
      </w:r>
      <w:r>
        <w:rPr>
          <w:rFonts w:ascii="宋体" w:hAnsi="宋体" w:eastAsia="宋体" w:cs="宋体"/>
          <w:sz w:val="24"/>
          <w:szCs w:val="24"/>
        </w:rPr>
        <w:t>25人，</w:t>
      </w:r>
      <w:r>
        <w:rPr>
          <w:rFonts w:hint="eastAsia" w:ascii="宋体" w:hAnsi="宋体" w:eastAsia="宋体" w:cs="宋体"/>
          <w:sz w:val="24"/>
          <w:szCs w:val="24"/>
        </w:rPr>
        <w:t>其中，校内专家有：罗明星（首席专家，教授）、</w:t>
      </w:r>
      <w:r>
        <w:rPr>
          <w:rFonts w:ascii="宋体" w:hAnsi="宋体" w:eastAsia="宋体" w:cs="宋体"/>
          <w:sz w:val="24"/>
          <w:szCs w:val="24"/>
        </w:rPr>
        <w:t>王斌</w:t>
      </w:r>
      <w:r>
        <w:rPr>
          <w:rFonts w:hint="eastAsia" w:ascii="宋体" w:hAnsi="宋体" w:eastAsia="宋体" w:cs="宋体"/>
          <w:sz w:val="24"/>
          <w:szCs w:val="24"/>
        </w:rPr>
        <w:t>（执行主任，教授）、</w:t>
      </w:r>
      <w:r>
        <w:rPr>
          <w:rFonts w:ascii="宋体" w:hAnsi="宋体" w:eastAsia="宋体" w:cs="宋体"/>
          <w:sz w:val="24"/>
          <w:szCs w:val="24"/>
        </w:rPr>
        <w:t>田野</w:t>
      </w:r>
      <w:r>
        <w:rPr>
          <w:rFonts w:hint="eastAsia" w:ascii="宋体" w:hAnsi="宋体" w:eastAsia="宋体" w:cs="宋体"/>
          <w:sz w:val="24"/>
          <w:szCs w:val="24"/>
        </w:rPr>
        <w:t>（博士，教授）、</w:t>
      </w:r>
      <w:r>
        <w:rPr>
          <w:rFonts w:ascii="宋体" w:hAnsi="宋体" w:eastAsia="宋体" w:cs="宋体"/>
          <w:sz w:val="24"/>
          <w:szCs w:val="24"/>
        </w:rPr>
        <w:t>于景洋</w:t>
      </w:r>
      <w:r>
        <w:rPr>
          <w:rFonts w:hint="eastAsia" w:ascii="宋体" w:hAnsi="宋体" w:eastAsia="宋体" w:cs="宋体"/>
          <w:sz w:val="24"/>
          <w:szCs w:val="24"/>
        </w:rPr>
        <w:t>（博士，教授），林艳（教授）等19人，校外专家有：</w:t>
      </w:r>
      <w:r>
        <w:rPr>
          <w:rFonts w:ascii="宋体" w:hAnsi="宋体" w:eastAsia="宋体" w:cs="宋体"/>
          <w:sz w:val="24"/>
          <w:szCs w:val="24"/>
        </w:rPr>
        <w:t>胡国胜</w:t>
      </w:r>
      <w:r>
        <w:rPr>
          <w:rFonts w:hint="eastAsia" w:ascii="宋体" w:hAnsi="宋体" w:eastAsia="宋体" w:cs="宋体"/>
          <w:sz w:val="24"/>
          <w:szCs w:val="24"/>
        </w:rPr>
        <w:t>（博士，教授）、</w:t>
      </w:r>
      <w:r>
        <w:rPr>
          <w:rFonts w:ascii="宋体" w:hAnsi="宋体" w:eastAsia="宋体" w:cs="宋体"/>
          <w:sz w:val="24"/>
          <w:szCs w:val="24"/>
        </w:rPr>
        <w:t>黄祖辉</w:t>
      </w:r>
      <w:r>
        <w:rPr>
          <w:rFonts w:hint="eastAsia" w:ascii="宋体" w:hAnsi="宋体" w:eastAsia="宋体" w:cs="宋体"/>
          <w:sz w:val="24"/>
          <w:szCs w:val="24"/>
        </w:rPr>
        <w:t>（博士，教授）、</w:t>
      </w:r>
      <w:r>
        <w:rPr>
          <w:rFonts w:ascii="宋体" w:hAnsi="宋体" w:eastAsia="宋体" w:cs="宋体"/>
          <w:sz w:val="24"/>
          <w:szCs w:val="24"/>
        </w:rPr>
        <w:t>陈成文</w:t>
      </w:r>
      <w:r>
        <w:rPr>
          <w:rFonts w:hint="eastAsia" w:ascii="宋体" w:hAnsi="宋体" w:eastAsia="宋体" w:cs="宋体"/>
          <w:sz w:val="24"/>
          <w:szCs w:val="24"/>
        </w:rPr>
        <w:t>（博士，教授）、</w:t>
      </w:r>
      <w:r>
        <w:rPr>
          <w:rFonts w:ascii="宋体" w:hAnsi="宋体" w:eastAsia="宋体" w:cs="宋体"/>
          <w:sz w:val="24"/>
          <w:szCs w:val="24"/>
        </w:rPr>
        <w:t>黄琦</w:t>
      </w:r>
      <w:r>
        <w:rPr>
          <w:rFonts w:hint="eastAsia" w:ascii="宋体" w:hAnsi="宋体" w:eastAsia="宋体" w:cs="宋体"/>
          <w:sz w:val="24"/>
          <w:szCs w:val="24"/>
        </w:rPr>
        <w:t>（博士，教授）等6人。研究人员</w:t>
      </w:r>
      <w:r>
        <w:rPr>
          <w:rFonts w:ascii="宋体" w:hAnsi="宋体" w:eastAsia="宋体" w:cs="宋体"/>
          <w:sz w:val="24"/>
          <w:szCs w:val="24"/>
        </w:rPr>
        <w:t>都具备丰富的科研和实践经验，拥有国内外知名高校的博士学位以及各自的特长和优势，构成了一支颇具实力的科研队伍</w:t>
      </w:r>
      <w:r>
        <w:rPr>
          <w:rFonts w:hint="eastAsia" w:ascii="宋体" w:hAnsi="宋体" w:eastAsia="宋体" w:cs="宋体"/>
          <w:sz w:val="24"/>
          <w:szCs w:val="24"/>
        </w:rPr>
        <w:t>，有效地保证基地研究工作和学术活动的正常开展。</w:t>
      </w:r>
    </w:p>
    <w:p w14:paraId="2AB6DF15">
      <w:pPr>
        <w:pStyle w:val="2"/>
      </w:pPr>
      <w:r>
        <w:rPr>
          <w:rFonts w:hint="eastAsia"/>
        </w:rPr>
        <w:t>研究中心行政架构实行主任负责制，广东科技学院党委书记吴念香担任中心主任（负责人），负责中心全面工作，马克思主义学院副院长王斌担任执行主任，负责中心管理执行，马克思主义学院教学科研助理</w:t>
      </w:r>
      <w:r>
        <w:rPr>
          <w:rFonts w:hint="eastAsia"/>
          <w:lang w:val="en-US" w:eastAsia="zh-CN"/>
        </w:rPr>
        <w:t>黄楠</w:t>
      </w:r>
      <w:r>
        <w:rPr>
          <w:rFonts w:hint="eastAsia"/>
        </w:rPr>
        <w:t>担任副主任，负责中心日常运行工作与文书工作。</w:t>
      </w:r>
    </w:p>
    <w:p w14:paraId="6B13F3A6">
      <w:pPr>
        <w:pStyle w:val="2"/>
      </w:pPr>
      <w:r>
        <w:rPr>
          <w:rFonts w:hint="eastAsia"/>
        </w:rPr>
        <w:t>学术委员会由吴念香、林艳、王斌、胡国胜、黄琦、黄祖辉、田野七名教授组成，黄祖辉教授任学术委员会主任委员，林艳教授、黄琦教授任学术委员会副主任委员，王斌教授任学术委员会秘书。</w:t>
      </w:r>
    </w:p>
    <w:p w14:paraId="2BBE29E7">
      <w:pPr>
        <w:pStyle w:val="5"/>
        <w:spacing w:line="440" w:lineRule="exact"/>
        <w:ind w:firstLine="0" w:firstLineChars="0"/>
        <w:jc w:val="center"/>
        <w:rPr>
          <w:rFonts w:ascii="仿宋_GB2312" w:hAnsi="黑体" w:eastAsia="仿宋_GB2312" w:cs="黑体"/>
          <w:b/>
          <w:sz w:val="22"/>
          <w:szCs w:val="22"/>
          <w:lang w:val="en-US"/>
        </w:rPr>
      </w:pPr>
      <w:r>
        <w:rPr>
          <w:rFonts w:hint="eastAsia" w:ascii="仿宋_GB2312" w:hAnsi="黑体" w:eastAsia="仿宋_GB2312" w:cs="黑体"/>
          <w:b/>
          <w:sz w:val="22"/>
          <w:szCs w:val="22"/>
          <w:lang w:val="en-US"/>
        </w:rPr>
        <w:t>研究中心人员安排表</w:t>
      </w:r>
    </w:p>
    <w:tbl>
      <w:tblPr>
        <w:tblStyle w:val="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817"/>
        <w:gridCol w:w="5344"/>
      </w:tblGrid>
      <w:tr w14:paraId="4AC7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81" w:type="dxa"/>
            <w:vAlign w:val="center"/>
          </w:tcPr>
          <w:p w14:paraId="395A5DE2">
            <w:pPr>
              <w:jc w:val="center"/>
              <w:rPr>
                <w:rFonts w:ascii="仿宋_GB2312" w:hAnsi="黑体" w:eastAsia="仿宋_GB2312" w:cs="黑体"/>
                <w:b/>
                <w:sz w:val="22"/>
                <w:szCs w:val="21"/>
              </w:rPr>
            </w:pPr>
            <w:r>
              <w:rPr>
                <w:rFonts w:hint="eastAsia" w:ascii="仿宋_GB2312" w:hAnsi="黑体" w:eastAsia="仿宋_GB2312" w:cs="黑体"/>
                <w:b/>
                <w:sz w:val="22"/>
                <w:szCs w:val="21"/>
              </w:rPr>
              <w:t>职务</w:t>
            </w:r>
          </w:p>
        </w:tc>
        <w:tc>
          <w:tcPr>
            <w:tcW w:w="817" w:type="dxa"/>
            <w:vAlign w:val="center"/>
          </w:tcPr>
          <w:p w14:paraId="5AD06E35">
            <w:pPr>
              <w:jc w:val="center"/>
              <w:rPr>
                <w:rFonts w:ascii="仿宋_GB2312" w:hAnsi="黑体" w:eastAsia="仿宋_GB2312" w:cs="黑体"/>
                <w:b/>
                <w:sz w:val="22"/>
                <w:szCs w:val="21"/>
              </w:rPr>
            </w:pPr>
            <w:r>
              <w:rPr>
                <w:rFonts w:hint="eastAsia" w:ascii="仿宋_GB2312" w:hAnsi="黑体" w:eastAsia="仿宋_GB2312" w:cs="黑体"/>
                <w:b/>
                <w:sz w:val="22"/>
                <w:szCs w:val="21"/>
              </w:rPr>
              <w:t>人数</w:t>
            </w:r>
          </w:p>
        </w:tc>
        <w:tc>
          <w:tcPr>
            <w:tcW w:w="5344" w:type="dxa"/>
            <w:vAlign w:val="center"/>
          </w:tcPr>
          <w:p w14:paraId="0920CF8F">
            <w:pPr>
              <w:jc w:val="center"/>
              <w:rPr>
                <w:rFonts w:ascii="仿宋_GB2312" w:hAnsi="黑体" w:eastAsia="仿宋_GB2312" w:cs="黑体"/>
                <w:b/>
                <w:sz w:val="22"/>
                <w:szCs w:val="21"/>
              </w:rPr>
            </w:pPr>
            <w:r>
              <w:rPr>
                <w:rFonts w:hint="eastAsia" w:ascii="仿宋_GB2312" w:hAnsi="黑体" w:eastAsia="仿宋_GB2312" w:cs="黑体"/>
                <w:b/>
                <w:sz w:val="22"/>
                <w:szCs w:val="21"/>
              </w:rPr>
              <w:t>职责</w:t>
            </w:r>
          </w:p>
        </w:tc>
      </w:tr>
      <w:tr w14:paraId="49E4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81" w:type="dxa"/>
            <w:vAlign w:val="center"/>
          </w:tcPr>
          <w:p w14:paraId="5B18B59D">
            <w:pPr>
              <w:jc w:val="center"/>
              <w:rPr>
                <w:rFonts w:ascii="仿宋_GB2312" w:hAnsi="仿宋" w:eastAsia="仿宋_GB2312" w:cs="仿宋"/>
                <w:sz w:val="22"/>
                <w:szCs w:val="21"/>
              </w:rPr>
            </w:pPr>
            <w:r>
              <w:rPr>
                <w:rFonts w:hint="eastAsia" w:ascii="仿宋_GB2312" w:hAnsi="仿宋" w:eastAsia="仿宋_GB2312" w:cs="仿宋"/>
                <w:sz w:val="22"/>
                <w:szCs w:val="21"/>
              </w:rPr>
              <w:t>研究中心咨询顾问</w:t>
            </w:r>
          </w:p>
        </w:tc>
        <w:tc>
          <w:tcPr>
            <w:tcW w:w="817" w:type="dxa"/>
            <w:vAlign w:val="center"/>
          </w:tcPr>
          <w:p w14:paraId="5DFC3834">
            <w:pPr>
              <w:jc w:val="center"/>
              <w:rPr>
                <w:rFonts w:ascii="仿宋_GB2312" w:hAnsi="仿宋" w:eastAsia="仿宋_GB2312" w:cs="仿宋"/>
                <w:sz w:val="22"/>
                <w:szCs w:val="21"/>
              </w:rPr>
            </w:pPr>
            <w:r>
              <w:rPr>
                <w:rFonts w:hint="eastAsia" w:ascii="仿宋_GB2312" w:hAnsi="仿宋" w:eastAsia="仿宋_GB2312" w:cs="仿宋"/>
                <w:sz w:val="22"/>
                <w:szCs w:val="21"/>
              </w:rPr>
              <w:t>1</w:t>
            </w:r>
          </w:p>
        </w:tc>
        <w:tc>
          <w:tcPr>
            <w:tcW w:w="5344" w:type="dxa"/>
            <w:vAlign w:val="center"/>
          </w:tcPr>
          <w:p w14:paraId="3004F982">
            <w:pPr>
              <w:jc w:val="center"/>
              <w:rPr>
                <w:rFonts w:ascii="仿宋_GB2312" w:hAnsi="仿宋" w:eastAsia="仿宋_GB2312" w:cs="仿宋"/>
                <w:sz w:val="22"/>
                <w:szCs w:val="21"/>
              </w:rPr>
            </w:pPr>
            <w:r>
              <w:rPr>
                <w:rFonts w:hint="eastAsia" w:ascii="仿宋_GB2312" w:hAnsi="仿宋" w:eastAsia="仿宋_GB2312" w:cs="仿宋"/>
                <w:sz w:val="22"/>
                <w:szCs w:val="21"/>
              </w:rPr>
              <w:t>中心发展参谋</w:t>
            </w:r>
          </w:p>
        </w:tc>
      </w:tr>
      <w:tr w14:paraId="0E52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81" w:type="dxa"/>
            <w:vAlign w:val="center"/>
          </w:tcPr>
          <w:p w14:paraId="69064166">
            <w:pPr>
              <w:jc w:val="center"/>
              <w:rPr>
                <w:rFonts w:ascii="仿宋_GB2312" w:hAnsi="仿宋" w:eastAsia="仿宋_GB2312" w:cs="仿宋"/>
                <w:sz w:val="22"/>
                <w:szCs w:val="21"/>
              </w:rPr>
            </w:pPr>
            <w:r>
              <w:rPr>
                <w:rFonts w:hint="eastAsia" w:ascii="仿宋_GB2312" w:hAnsi="仿宋" w:eastAsia="仿宋_GB2312" w:cs="仿宋"/>
                <w:sz w:val="22"/>
                <w:szCs w:val="21"/>
              </w:rPr>
              <w:t>研究中心主任</w:t>
            </w:r>
          </w:p>
          <w:p w14:paraId="3007CA89">
            <w:pPr>
              <w:jc w:val="center"/>
              <w:rPr>
                <w:rFonts w:ascii="仿宋_GB2312" w:hAnsi="仿宋" w:eastAsia="仿宋_GB2312" w:cs="仿宋"/>
                <w:sz w:val="22"/>
                <w:szCs w:val="21"/>
              </w:rPr>
            </w:pPr>
            <w:r>
              <w:rPr>
                <w:rFonts w:hint="eastAsia" w:ascii="仿宋_GB2312" w:hAnsi="仿宋" w:eastAsia="仿宋_GB2312" w:cs="仿宋"/>
                <w:sz w:val="22"/>
                <w:szCs w:val="21"/>
              </w:rPr>
              <w:t>（负责人）</w:t>
            </w:r>
          </w:p>
        </w:tc>
        <w:tc>
          <w:tcPr>
            <w:tcW w:w="817" w:type="dxa"/>
            <w:vAlign w:val="center"/>
          </w:tcPr>
          <w:p w14:paraId="35F1B380">
            <w:pPr>
              <w:jc w:val="center"/>
              <w:rPr>
                <w:rFonts w:ascii="仿宋_GB2312" w:hAnsi="仿宋" w:eastAsia="仿宋_GB2312" w:cs="仿宋"/>
                <w:sz w:val="22"/>
                <w:szCs w:val="21"/>
              </w:rPr>
            </w:pPr>
            <w:r>
              <w:rPr>
                <w:rFonts w:hint="eastAsia" w:ascii="仿宋_GB2312" w:hAnsi="仿宋" w:eastAsia="仿宋_GB2312" w:cs="仿宋"/>
                <w:sz w:val="22"/>
                <w:szCs w:val="21"/>
              </w:rPr>
              <w:t>1</w:t>
            </w:r>
          </w:p>
        </w:tc>
        <w:tc>
          <w:tcPr>
            <w:tcW w:w="5344" w:type="dxa"/>
            <w:vAlign w:val="center"/>
          </w:tcPr>
          <w:p w14:paraId="14800527">
            <w:pPr>
              <w:jc w:val="center"/>
              <w:rPr>
                <w:rFonts w:ascii="仿宋_GB2312" w:hAnsi="仿宋" w:eastAsia="仿宋_GB2312" w:cs="仿宋"/>
                <w:sz w:val="22"/>
                <w:szCs w:val="21"/>
              </w:rPr>
            </w:pPr>
            <w:r>
              <w:rPr>
                <w:rFonts w:hint="eastAsia" w:ascii="仿宋_GB2312" w:hAnsi="仿宋" w:eastAsia="仿宋_GB2312" w:cs="仿宋"/>
                <w:sz w:val="22"/>
                <w:szCs w:val="21"/>
              </w:rPr>
              <w:t>中心工作统筹</w:t>
            </w:r>
          </w:p>
        </w:tc>
      </w:tr>
      <w:tr w14:paraId="70FC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81" w:type="dxa"/>
            <w:vAlign w:val="center"/>
          </w:tcPr>
          <w:p w14:paraId="0934920E">
            <w:pPr>
              <w:jc w:val="center"/>
              <w:rPr>
                <w:rFonts w:ascii="仿宋_GB2312" w:hAnsi="仿宋" w:eastAsia="仿宋_GB2312" w:cs="仿宋"/>
                <w:sz w:val="22"/>
                <w:szCs w:val="21"/>
              </w:rPr>
            </w:pPr>
            <w:r>
              <w:rPr>
                <w:rFonts w:hint="eastAsia" w:ascii="仿宋_GB2312" w:hAnsi="仿宋" w:eastAsia="仿宋_GB2312" w:cs="仿宋"/>
                <w:sz w:val="22"/>
                <w:szCs w:val="21"/>
              </w:rPr>
              <w:t>研究中心执行主任</w:t>
            </w:r>
          </w:p>
        </w:tc>
        <w:tc>
          <w:tcPr>
            <w:tcW w:w="817" w:type="dxa"/>
            <w:vAlign w:val="center"/>
          </w:tcPr>
          <w:p w14:paraId="40D3E4B9">
            <w:pPr>
              <w:jc w:val="center"/>
              <w:rPr>
                <w:rFonts w:ascii="仿宋_GB2312" w:hAnsi="仿宋" w:eastAsia="仿宋_GB2312" w:cs="仿宋"/>
                <w:sz w:val="22"/>
                <w:szCs w:val="21"/>
              </w:rPr>
            </w:pPr>
            <w:r>
              <w:rPr>
                <w:rFonts w:hint="eastAsia" w:ascii="仿宋_GB2312" w:hAnsi="仿宋" w:eastAsia="仿宋_GB2312" w:cs="仿宋"/>
                <w:sz w:val="22"/>
                <w:szCs w:val="21"/>
              </w:rPr>
              <w:t>1</w:t>
            </w:r>
          </w:p>
        </w:tc>
        <w:tc>
          <w:tcPr>
            <w:tcW w:w="5344" w:type="dxa"/>
            <w:vAlign w:val="center"/>
          </w:tcPr>
          <w:p w14:paraId="1BFA6B8B">
            <w:pPr>
              <w:jc w:val="center"/>
              <w:rPr>
                <w:rFonts w:ascii="仿宋_GB2312" w:hAnsi="仿宋" w:eastAsia="仿宋_GB2312" w:cs="仿宋"/>
                <w:sz w:val="22"/>
                <w:szCs w:val="21"/>
              </w:rPr>
            </w:pPr>
            <w:r>
              <w:rPr>
                <w:rFonts w:hint="eastAsia" w:ascii="仿宋_GB2312" w:hAnsi="仿宋" w:eastAsia="仿宋_GB2312" w:cs="仿宋"/>
                <w:sz w:val="22"/>
                <w:szCs w:val="21"/>
              </w:rPr>
              <w:t>中心工作规划与安排</w:t>
            </w:r>
          </w:p>
        </w:tc>
      </w:tr>
      <w:tr w14:paraId="2440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81" w:type="dxa"/>
            <w:vAlign w:val="center"/>
          </w:tcPr>
          <w:p w14:paraId="21F822BD">
            <w:pPr>
              <w:jc w:val="center"/>
              <w:rPr>
                <w:rFonts w:ascii="仿宋_GB2312" w:hAnsi="仿宋" w:eastAsia="仿宋_GB2312" w:cs="仿宋"/>
                <w:sz w:val="22"/>
                <w:szCs w:val="21"/>
              </w:rPr>
            </w:pPr>
            <w:r>
              <w:rPr>
                <w:rFonts w:hint="eastAsia" w:ascii="仿宋_GB2312" w:hAnsi="仿宋" w:eastAsia="仿宋_GB2312" w:cs="仿宋"/>
                <w:sz w:val="22"/>
                <w:szCs w:val="21"/>
              </w:rPr>
              <w:t>研究中心执行副主任</w:t>
            </w:r>
          </w:p>
        </w:tc>
        <w:tc>
          <w:tcPr>
            <w:tcW w:w="817" w:type="dxa"/>
            <w:vAlign w:val="center"/>
          </w:tcPr>
          <w:p w14:paraId="47596B13">
            <w:pPr>
              <w:jc w:val="center"/>
              <w:rPr>
                <w:rFonts w:ascii="仿宋_GB2312" w:hAnsi="仿宋" w:eastAsia="仿宋_GB2312" w:cs="仿宋"/>
                <w:sz w:val="22"/>
                <w:szCs w:val="21"/>
              </w:rPr>
            </w:pPr>
            <w:r>
              <w:rPr>
                <w:rFonts w:hint="eastAsia" w:ascii="仿宋_GB2312" w:hAnsi="仿宋" w:eastAsia="仿宋_GB2312" w:cs="仿宋"/>
                <w:sz w:val="22"/>
                <w:szCs w:val="21"/>
              </w:rPr>
              <w:t>1</w:t>
            </w:r>
          </w:p>
        </w:tc>
        <w:tc>
          <w:tcPr>
            <w:tcW w:w="5344" w:type="dxa"/>
            <w:vAlign w:val="center"/>
          </w:tcPr>
          <w:p w14:paraId="4C6D9D81">
            <w:pPr>
              <w:jc w:val="center"/>
              <w:rPr>
                <w:rFonts w:ascii="仿宋_GB2312" w:hAnsi="仿宋" w:eastAsia="仿宋_GB2312" w:cs="仿宋"/>
                <w:sz w:val="22"/>
                <w:szCs w:val="21"/>
              </w:rPr>
            </w:pPr>
            <w:r>
              <w:rPr>
                <w:rFonts w:hint="eastAsia" w:ascii="仿宋_GB2312" w:hAnsi="仿宋" w:eastAsia="仿宋_GB2312" w:cs="仿宋"/>
                <w:sz w:val="22"/>
                <w:szCs w:val="21"/>
              </w:rPr>
              <w:t>人员联络与文书工作</w:t>
            </w:r>
          </w:p>
        </w:tc>
      </w:tr>
      <w:tr w14:paraId="49AE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81" w:type="dxa"/>
            <w:vAlign w:val="center"/>
          </w:tcPr>
          <w:p w14:paraId="506631E3">
            <w:pPr>
              <w:jc w:val="center"/>
              <w:rPr>
                <w:rFonts w:ascii="仿宋_GB2312" w:hAnsi="仿宋" w:eastAsia="仿宋_GB2312" w:cs="仿宋"/>
                <w:sz w:val="22"/>
                <w:szCs w:val="21"/>
              </w:rPr>
            </w:pPr>
            <w:r>
              <w:rPr>
                <w:rFonts w:hint="eastAsia" w:ascii="仿宋_GB2312" w:hAnsi="仿宋" w:eastAsia="仿宋_GB2312"/>
                <w:sz w:val="22"/>
                <w:szCs w:val="21"/>
              </w:rPr>
              <w:t>研究中心学术委员会</w:t>
            </w:r>
          </w:p>
        </w:tc>
        <w:tc>
          <w:tcPr>
            <w:tcW w:w="817" w:type="dxa"/>
            <w:vAlign w:val="center"/>
          </w:tcPr>
          <w:p w14:paraId="7B94B424">
            <w:pPr>
              <w:jc w:val="center"/>
              <w:rPr>
                <w:rFonts w:ascii="仿宋_GB2312" w:hAnsi="仿宋" w:eastAsia="仿宋_GB2312" w:cs="仿宋"/>
                <w:sz w:val="22"/>
                <w:szCs w:val="21"/>
              </w:rPr>
            </w:pPr>
            <w:r>
              <w:rPr>
                <w:rFonts w:hint="eastAsia" w:ascii="仿宋_GB2312" w:hAnsi="仿宋" w:eastAsia="仿宋_GB2312" w:cs="仿宋"/>
                <w:sz w:val="22"/>
                <w:szCs w:val="21"/>
              </w:rPr>
              <w:t>7</w:t>
            </w:r>
          </w:p>
        </w:tc>
        <w:tc>
          <w:tcPr>
            <w:tcW w:w="5344" w:type="dxa"/>
            <w:vAlign w:val="center"/>
          </w:tcPr>
          <w:p w14:paraId="12CFD1C0">
            <w:pPr>
              <w:jc w:val="center"/>
              <w:rPr>
                <w:rFonts w:ascii="仿宋_GB2312" w:hAnsi="仿宋" w:eastAsia="仿宋_GB2312" w:cs="仿宋"/>
                <w:sz w:val="22"/>
                <w:szCs w:val="21"/>
              </w:rPr>
            </w:pPr>
            <w:r>
              <w:rPr>
                <w:rFonts w:hint="eastAsia" w:ascii="仿宋_GB2312" w:hAnsi="仿宋" w:eastAsia="仿宋_GB2312" w:cs="仿宋"/>
                <w:sz w:val="22"/>
                <w:szCs w:val="21"/>
              </w:rPr>
              <w:t>学术交流与培训，考核研究人员，评价科研成果</w:t>
            </w:r>
          </w:p>
        </w:tc>
      </w:tr>
      <w:tr w14:paraId="6B9D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81" w:type="dxa"/>
            <w:vAlign w:val="center"/>
          </w:tcPr>
          <w:p w14:paraId="44607C0D">
            <w:pPr>
              <w:jc w:val="center"/>
              <w:rPr>
                <w:rFonts w:ascii="仿宋_GB2312" w:hAnsi="仿宋" w:eastAsia="仿宋_GB2312" w:cs="仿宋"/>
                <w:sz w:val="22"/>
                <w:szCs w:val="21"/>
              </w:rPr>
            </w:pPr>
            <w:r>
              <w:rPr>
                <w:rFonts w:hint="eastAsia" w:ascii="仿宋_GB2312" w:hAnsi="仿宋" w:eastAsia="仿宋_GB2312" w:cs="仿宋"/>
                <w:sz w:val="22"/>
                <w:szCs w:val="21"/>
              </w:rPr>
              <w:t>核心研究人员</w:t>
            </w:r>
          </w:p>
        </w:tc>
        <w:tc>
          <w:tcPr>
            <w:tcW w:w="817" w:type="dxa"/>
            <w:vAlign w:val="center"/>
          </w:tcPr>
          <w:p w14:paraId="4483D0EB">
            <w:pPr>
              <w:jc w:val="center"/>
              <w:rPr>
                <w:rFonts w:ascii="仿宋_GB2312" w:hAnsi="仿宋" w:eastAsia="仿宋_GB2312" w:cs="仿宋"/>
                <w:sz w:val="22"/>
                <w:szCs w:val="21"/>
              </w:rPr>
            </w:pPr>
            <w:r>
              <w:rPr>
                <w:rFonts w:hint="eastAsia" w:ascii="仿宋_GB2312" w:hAnsi="仿宋" w:eastAsia="仿宋_GB2312" w:cs="仿宋"/>
                <w:sz w:val="22"/>
                <w:szCs w:val="21"/>
              </w:rPr>
              <w:t>20</w:t>
            </w:r>
          </w:p>
        </w:tc>
        <w:tc>
          <w:tcPr>
            <w:tcW w:w="5344" w:type="dxa"/>
            <w:vAlign w:val="center"/>
          </w:tcPr>
          <w:p w14:paraId="0FF2AB2E">
            <w:pPr>
              <w:jc w:val="center"/>
              <w:rPr>
                <w:rFonts w:ascii="仿宋_GB2312" w:hAnsi="仿宋" w:eastAsia="仿宋_GB2312" w:cs="仿宋"/>
                <w:sz w:val="22"/>
                <w:szCs w:val="21"/>
              </w:rPr>
            </w:pPr>
            <w:r>
              <w:rPr>
                <w:rFonts w:hint="eastAsia" w:ascii="仿宋_GB2312" w:hAnsi="仿宋" w:eastAsia="仿宋_GB2312" w:cs="仿宋"/>
                <w:sz w:val="22"/>
                <w:szCs w:val="21"/>
              </w:rPr>
              <w:t>建立科研团队、完成科研任务、参加学术交流</w:t>
            </w:r>
          </w:p>
        </w:tc>
      </w:tr>
      <w:tr w14:paraId="3533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81" w:type="dxa"/>
            <w:vAlign w:val="center"/>
          </w:tcPr>
          <w:p w14:paraId="1C3901BC">
            <w:pPr>
              <w:jc w:val="center"/>
              <w:rPr>
                <w:rFonts w:ascii="仿宋_GB2312" w:hAnsi="仿宋" w:eastAsia="仿宋_GB2312" w:cs="仿宋"/>
                <w:sz w:val="22"/>
                <w:szCs w:val="21"/>
              </w:rPr>
            </w:pPr>
            <w:r>
              <w:rPr>
                <w:rFonts w:hint="eastAsia" w:ascii="仿宋_GB2312" w:hAnsi="仿宋" w:eastAsia="仿宋_GB2312" w:cs="仿宋"/>
                <w:sz w:val="22"/>
                <w:szCs w:val="21"/>
              </w:rPr>
              <w:t>常规研究人员</w:t>
            </w:r>
          </w:p>
        </w:tc>
        <w:tc>
          <w:tcPr>
            <w:tcW w:w="817" w:type="dxa"/>
            <w:vAlign w:val="center"/>
          </w:tcPr>
          <w:p w14:paraId="52043C9F">
            <w:pPr>
              <w:jc w:val="center"/>
              <w:rPr>
                <w:rFonts w:ascii="仿宋_GB2312" w:hAnsi="仿宋" w:eastAsia="仿宋_GB2312" w:cs="仿宋"/>
                <w:sz w:val="22"/>
                <w:szCs w:val="21"/>
              </w:rPr>
            </w:pPr>
            <w:r>
              <w:rPr>
                <w:rFonts w:hint="eastAsia" w:ascii="仿宋_GB2312" w:hAnsi="仿宋" w:eastAsia="仿宋_GB2312" w:cs="仿宋"/>
                <w:sz w:val="22"/>
                <w:szCs w:val="21"/>
              </w:rPr>
              <w:t>23</w:t>
            </w:r>
          </w:p>
        </w:tc>
        <w:tc>
          <w:tcPr>
            <w:tcW w:w="5344" w:type="dxa"/>
            <w:vAlign w:val="center"/>
          </w:tcPr>
          <w:p w14:paraId="079689DD">
            <w:pPr>
              <w:jc w:val="center"/>
              <w:rPr>
                <w:rFonts w:ascii="仿宋_GB2312" w:hAnsi="仿宋" w:eastAsia="仿宋_GB2312" w:cs="仿宋"/>
                <w:sz w:val="22"/>
                <w:szCs w:val="21"/>
              </w:rPr>
            </w:pPr>
            <w:r>
              <w:rPr>
                <w:rFonts w:hint="eastAsia" w:ascii="仿宋_GB2312" w:hAnsi="仿宋" w:eastAsia="仿宋_GB2312" w:cs="仿宋"/>
                <w:sz w:val="22"/>
                <w:szCs w:val="21"/>
              </w:rPr>
              <w:t>完成科研任务、参加学术交流</w:t>
            </w:r>
          </w:p>
        </w:tc>
      </w:tr>
    </w:tbl>
    <w:p w14:paraId="13984830">
      <w:pPr>
        <w:spacing w:line="360" w:lineRule="auto"/>
        <w:rPr>
          <w:rFonts w:ascii="宋体" w:hAnsi="宋体" w:eastAsia="宋体" w:cs="宋体"/>
          <w:sz w:val="24"/>
          <w:szCs w:val="24"/>
        </w:rPr>
      </w:pPr>
    </w:p>
    <w:p w14:paraId="06421D37">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4.管理制度</w:t>
      </w:r>
    </w:p>
    <w:p w14:paraId="09E6965C">
      <w:pPr>
        <w:pStyle w:val="10"/>
        <w:spacing w:line="360" w:lineRule="auto"/>
        <w:ind w:firstLine="480"/>
        <w:rPr>
          <w:rFonts w:ascii="宋体" w:hAnsi="宋体" w:eastAsia="宋体" w:cs="宋体"/>
          <w:sz w:val="24"/>
          <w:szCs w:val="24"/>
        </w:rPr>
      </w:pPr>
      <w:r>
        <w:rPr>
          <w:rFonts w:hint="eastAsia" w:ascii="宋体" w:hAnsi="宋体" w:eastAsia="宋体" w:cs="宋体"/>
          <w:sz w:val="24"/>
          <w:szCs w:val="24"/>
        </w:rPr>
        <w:t>为了保证研究中心的良好运转，充分发挥和调动研究人员的工作积极性，确保研究任务的落实，</w:t>
      </w:r>
      <w:r>
        <w:rPr>
          <w:rFonts w:ascii="宋体" w:hAnsi="宋体" w:eastAsia="宋体" w:cs="宋体"/>
          <w:sz w:val="24"/>
          <w:szCs w:val="24"/>
        </w:rPr>
        <w:t>根据广东省社科研究基地办公室《广东省社会科学界联合会社团管理办法》《关于加强哲学社会科学学术社团建设的实施意见》等文件要求</w:t>
      </w:r>
      <w:r>
        <w:rPr>
          <w:rFonts w:hint="eastAsia" w:ascii="宋体" w:hAnsi="宋体" w:eastAsia="宋体" w:cs="宋体"/>
          <w:sz w:val="24"/>
          <w:szCs w:val="24"/>
        </w:rPr>
        <w:t>制定了</w:t>
      </w:r>
      <w:r>
        <w:rPr>
          <w:rFonts w:ascii="宋体" w:hAnsi="宋体" w:eastAsia="宋体" w:cs="宋体"/>
          <w:sz w:val="24"/>
          <w:szCs w:val="24"/>
        </w:rPr>
        <w:t>《岭南文化研究基地——东莞红色文化研究中心管理办法》</w:t>
      </w:r>
      <w:r>
        <w:rPr>
          <w:rFonts w:hint="eastAsia" w:ascii="宋体" w:hAnsi="宋体" w:eastAsia="宋体" w:cs="宋体"/>
          <w:sz w:val="24"/>
          <w:szCs w:val="24"/>
        </w:rPr>
        <w:t>，并以此切</w:t>
      </w:r>
      <w:r>
        <w:rPr>
          <w:rFonts w:ascii="宋体" w:hAnsi="宋体" w:eastAsia="宋体" w:cs="宋体"/>
          <w:sz w:val="24"/>
          <w:szCs w:val="24"/>
        </w:rPr>
        <w:t>实做实做好</w:t>
      </w:r>
      <w:r>
        <w:rPr>
          <w:rFonts w:hint="eastAsia" w:ascii="宋体" w:hAnsi="宋体" w:eastAsia="宋体" w:cs="宋体"/>
          <w:sz w:val="24"/>
          <w:szCs w:val="24"/>
        </w:rPr>
        <w:t>了</w:t>
      </w:r>
      <w:r>
        <w:rPr>
          <w:rFonts w:ascii="宋体" w:hAnsi="宋体" w:eastAsia="宋体" w:cs="宋体"/>
          <w:sz w:val="24"/>
          <w:szCs w:val="24"/>
        </w:rPr>
        <w:t>基地日常管理、课题申报、学术交流与合作、科研成果转化等工作</w:t>
      </w:r>
      <w:r>
        <w:rPr>
          <w:rFonts w:hint="eastAsia" w:ascii="宋体" w:hAnsi="宋体" w:eastAsia="宋体" w:cs="宋体"/>
          <w:sz w:val="24"/>
          <w:szCs w:val="24"/>
        </w:rPr>
        <w:t>，取得了较好的管理效果。</w:t>
      </w:r>
    </w:p>
    <w:p w14:paraId="26AD4F76">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w:t>
      </w:r>
      <w:r>
        <w:rPr>
          <w:rFonts w:hint="eastAsia" w:ascii="黑体" w:hAnsi="黑体" w:eastAsia="黑体" w:cs="黑体"/>
          <w:sz w:val="24"/>
          <w:szCs w:val="24"/>
          <w:lang w:val="en-US" w:eastAsia="zh-CN"/>
        </w:rPr>
        <w:t>六</w:t>
      </w:r>
      <w:bookmarkStart w:id="0" w:name="_GoBack"/>
      <w:bookmarkEnd w:id="0"/>
      <w:r>
        <w:rPr>
          <w:rFonts w:hint="eastAsia" w:ascii="黑体" w:hAnsi="黑体" w:eastAsia="黑体" w:cs="黑体"/>
          <w:sz w:val="24"/>
          <w:szCs w:val="24"/>
        </w:rPr>
        <w:t>）社会影响力及机制创新</w:t>
      </w:r>
    </w:p>
    <w:p w14:paraId="12D6F6C8">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1.深化院际交流</w:t>
      </w:r>
      <w:r>
        <w:rPr>
          <w:rFonts w:ascii="黑体" w:hAnsi="黑体" w:eastAsia="黑体" w:cs="黑体"/>
          <w:sz w:val="24"/>
          <w:szCs w:val="24"/>
        </w:rPr>
        <w:t>互鉴</w:t>
      </w:r>
    </w:p>
    <w:p w14:paraId="71B0486A">
      <w:pPr>
        <w:spacing w:line="360" w:lineRule="auto"/>
        <w:ind w:firstLine="480" w:firstLineChars="200"/>
        <w:rPr>
          <w:rFonts w:ascii="宋体" w:hAnsi="宋体" w:eastAsia="宋体" w:cs="宋体"/>
          <w:sz w:val="24"/>
          <w:szCs w:val="24"/>
        </w:rPr>
      </w:pPr>
      <w:r>
        <w:rPr>
          <w:rFonts w:ascii="宋体" w:hAnsi="宋体" w:eastAsia="宋体" w:cs="宋体"/>
          <w:sz w:val="24"/>
          <w:szCs w:val="24"/>
        </w:rPr>
        <w:t>9月12日，</w:t>
      </w:r>
      <w:r>
        <w:rPr>
          <w:rFonts w:hint="eastAsia" w:ascii="宋体" w:hAnsi="宋体" w:eastAsia="宋体" w:cs="宋体"/>
          <w:sz w:val="24"/>
          <w:szCs w:val="24"/>
        </w:rPr>
        <w:t>研究中心首席专家，</w:t>
      </w:r>
      <w:r>
        <w:rPr>
          <w:rFonts w:ascii="宋体" w:hAnsi="宋体" w:eastAsia="宋体" w:cs="宋体"/>
          <w:sz w:val="24"/>
          <w:szCs w:val="24"/>
        </w:rPr>
        <w:t>我校马克思主义学院罗明星院长率领东莞红色文化研究中心团队成员专程到访东莞理工学院的东莞市社会治理研究院，围绕社会实践平台共建、社会治理人才培养等议题进行深入交流与洽谈合作</w:t>
      </w:r>
      <w:r>
        <w:rPr>
          <w:rFonts w:hint="eastAsia" w:ascii="宋体" w:hAnsi="宋体" w:eastAsia="宋体" w:cs="宋体"/>
          <w:sz w:val="24"/>
          <w:szCs w:val="24"/>
        </w:rPr>
        <w:t>，</w:t>
      </w:r>
      <w:r>
        <w:rPr>
          <w:rFonts w:ascii="宋体" w:hAnsi="宋体" w:eastAsia="宋体" w:cs="宋体"/>
          <w:sz w:val="24"/>
          <w:szCs w:val="24"/>
        </w:rPr>
        <w:t>积极拓展与东莞理工学院东莞市社会治理研究院的交流，携手共进，共同探索新时代高校研究机构协同发展的创新模式与实施路径。此次访问促进</w:t>
      </w:r>
      <w:r>
        <w:rPr>
          <w:rFonts w:hint="eastAsia" w:ascii="宋体" w:hAnsi="宋体" w:eastAsia="宋体" w:cs="宋体"/>
          <w:sz w:val="24"/>
          <w:szCs w:val="24"/>
        </w:rPr>
        <w:t>了</w:t>
      </w:r>
      <w:r>
        <w:rPr>
          <w:rFonts w:ascii="宋体" w:hAnsi="宋体" w:eastAsia="宋体" w:cs="宋体"/>
          <w:sz w:val="24"/>
          <w:szCs w:val="24"/>
        </w:rPr>
        <w:t>两校优势互补、资源共享，共同探索新形势下高校马克思主义学院建设与社会治理服务创新融合发展的新路径。</w:t>
      </w:r>
    </w:p>
    <w:p w14:paraId="38D30A29">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2.</w:t>
      </w:r>
      <w:r>
        <w:rPr>
          <w:rFonts w:ascii="黑体" w:hAnsi="黑体" w:eastAsia="黑体" w:cs="黑体"/>
          <w:sz w:val="24"/>
          <w:szCs w:val="24"/>
        </w:rPr>
        <w:t>参加东莞市沉香文化展览馆11周年馆庆活动</w:t>
      </w:r>
    </w:p>
    <w:p w14:paraId="750DE34C">
      <w:pPr>
        <w:spacing w:line="360" w:lineRule="auto"/>
        <w:ind w:firstLine="480" w:firstLineChars="200"/>
        <w:rPr>
          <w:rFonts w:cs="黑体" w:asciiTheme="majorEastAsia" w:hAnsiTheme="majorEastAsia" w:eastAsiaTheme="majorEastAsia"/>
          <w:sz w:val="24"/>
          <w:szCs w:val="24"/>
        </w:rPr>
      </w:pPr>
      <w:r>
        <w:rPr>
          <w:rFonts w:cs="黑体" w:asciiTheme="majorEastAsia" w:hAnsiTheme="majorEastAsia" w:eastAsiaTheme="majorEastAsia"/>
          <w:sz w:val="24"/>
          <w:szCs w:val="24"/>
        </w:rPr>
        <w:t>12月20日上午，东莞市沉香文化展览馆“携手十一载 香馆会知音”活动隆重举行。</w:t>
      </w:r>
      <w:r>
        <w:rPr>
          <w:rFonts w:hint="eastAsia" w:cs="黑体" w:asciiTheme="majorEastAsia" w:hAnsiTheme="majorEastAsia" w:eastAsiaTheme="majorEastAsia"/>
          <w:sz w:val="24"/>
          <w:szCs w:val="24"/>
        </w:rPr>
        <w:t>研究中心人员</w:t>
      </w:r>
      <w:r>
        <w:rPr>
          <w:rFonts w:cs="黑体" w:asciiTheme="majorEastAsia" w:hAnsiTheme="majorEastAsia" w:eastAsiaTheme="majorEastAsia"/>
          <w:sz w:val="24"/>
          <w:szCs w:val="24"/>
        </w:rPr>
        <w:t>周菊菊作为共建高校代表上台领取“香馆挚友”奖，这一荣誉不仅见证了我校与展览馆长期以来的良好合作关系，更彰显了馆校协同推进文化育人的丰硕成果。</w:t>
      </w:r>
      <w:r>
        <w:rPr>
          <w:rFonts w:hint="eastAsia" w:cs="黑体" w:asciiTheme="majorEastAsia" w:hAnsiTheme="majorEastAsia" w:eastAsiaTheme="majorEastAsia"/>
          <w:sz w:val="24"/>
          <w:szCs w:val="24"/>
        </w:rPr>
        <w:t>中心还组织我校</w:t>
      </w:r>
      <w:r>
        <w:rPr>
          <w:rFonts w:cs="黑体" w:asciiTheme="majorEastAsia" w:hAnsiTheme="majorEastAsia" w:eastAsiaTheme="majorEastAsia"/>
          <w:sz w:val="24"/>
          <w:szCs w:val="24"/>
        </w:rPr>
        <w:t>师生热心参与香博馆外围举办的2025年第八届“百蹊助学 发现老东莞”爱心义卖活动</w:t>
      </w:r>
      <w:r>
        <w:rPr>
          <w:rFonts w:hint="eastAsia" w:cs="黑体" w:asciiTheme="majorEastAsia" w:hAnsiTheme="majorEastAsia" w:eastAsiaTheme="majorEastAsia"/>
          <w:sz w:val="24"/>
          <w:szCs w:val="24"/>
        </w:rPr>
        <w:t>，</w:t>
      </w:r>
      <w:r>
        <w:rPr>
          <w:rFonts w:cs="黑体" w:asciiTheme="majorEastAsia" w:hAnsiTheme="majorEastAsia" w:eastAsiaTheme="majorEastAsia"/>
          <w:sz w:val="24"/>
          <w:szCs w:val="24"/>
        </w:rPr>
        <w:t>师生们在参与义卖的过程中，既践行了公益精神，也深化了对老东莞文化的认知。</w:t>
      </w:r>
    </w:p>
    <w:p w14:paraId="4CEB2D50">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3.</w:t>
      </w:r>
      <w:r>
        <w:rPr>
          <w:rFonts w:hint="eastAsia"/>
        </w:rPr>
        <w:t xml:space="preserve"> </w:t>
      </w:r>
      <w:r>
        <w:rPr>
          <w:rFonts w:ascii="黑体" w:hAnsi="黑体" w:eastAsia="黑体" w:cs="黑体"/>
          <w:sz w:val="24"/>
          <w:szCs w:val="24"/>
        </w:rPr>
        <w:t>参加东纵联大红色诵读展演活动</w:t>
      </w:r>
    </w:p>
    <w:p w14:paraId="51926DDB">
      <w:pPr>
        <w:pStyle w:val="10"/>
        <w:spacing w:line="360" w:lineRule="auto"/>
        <w:ind w:firstLine="480"/>
        <w:rPr>
          <w:rFonts w:ascii="宋体" w:hAnsi="宋体" w:eastAsia="宋体" w:cs="宋体"/>
          <w:sz w:val="24"/>
          <w:szCs w:val="24"/>
        </w:rPr>
      </w:pPr>
      <w:r>
        <w:rPr>
          <w:rFonts w:ascii="宋体" w:hAnsi="宋体" w:eastAsia="宋体" w:cs="宋体"/>
          <w:sz w:val="24"/>
          <w:szCs w:val="24"/>
        </w:rPr>
        <w:t>为传承红色基因、弘扬爱国主义精神，12月2日下午，</w:t>
      </w:r>
      <w:r>
        <w:rPr>
          <w:rFonts w:hint="eastAsia" w:ascii="宋体" w:hAnsi="宋体" w:eastAsia="宋体" w:cs="宋体"/>
          <w:sz w:val="24"/>
          <w:szCs w:val="24"/>
        </w:rPr>
        <w:t>研究中心林艳教授带队，组织师生</w:t>
      </w:r>
      <w:r>
        <w:rPr>
          <w:rFonts w:ascii="宋体" w:hAnsi="宋体" w:eastAsia="宋体" w:cs="宋体"/>
          <w:sz w:val="24"/>
          <w:szCs w:val="24"/>
        </w:rPr>
        <w:t>精心选送抗战家书诵读节目《彭雪枫致妻书》前往广东东江纵队纪念馆，参与东纵联大第八季第二期“笔端家国 烽火弦歌”——抗战诗词诵读暨红色节目展演活动。广东东江纵队纪念馆相关负责人高度评价了精彩表现，</w:t>
      </w:r>
      <w:r>
        <w:rPr>
          <w:rFonts w:hint="eastAsia" w:ascii="宋体" w:hAnsi="宋体" w:eastAsia="宋体" w:cs="宋体"/>
          <w:sz w:val="24"/>
          <w:szCs w:val="24"/>
        </w:rPr>
        <w:t>对</w:t>
      </w:r>
      <w:r>
        <w:rPr>
          <w:rFonts w:ascii="宋体" w:hAnsi="宋体" w:eastAsia="宋体" w:cs="宋体"/>
          <w:sz w:val="24"/>
          <w:szCs w:val="24"/>
        </w:rPr>
        <w:t>学校</w:t>
      </w:r>
      <w:r>
        <w:rPr>
          <w:rFonts w:hint="eastAsia" w:ascii="宋体" w:hAnsi="宋体" w:eastAsia="宋体" w:cs="宋体"/>
          <w:sz w:val="24"/>
          <w:szCs w:val="24"/>
        </w:rPr>
        <w:t>和研究中心</w:t>
      </w:r>
      <w:r>
        <w:rPr>
          <w:rFonts w:ascii="宋体" w:hAnsi="宋体" w:eastAsia="宋体" w:cs="宋体"/>
          <w:sz w:val="24"/>
          <w:szCs w:val="24"/>
        </w:rPr>
        <w:t>长期以来坚持理论与实践相结合、积极探索红色文化育人路径的充分肯定。</w:t>
      </w:r>
    </w:p>
    <w:p w14:paraId="0878FCA7">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二、2026年工作计划</w:t>
      </w:r>
    </w:p>
    <w:p w14:paraId="24813BA8">
      <w:pPr>
        <w:widowControl/>
        <w:spacing w:line="360" w:lineRule="auto"/>
        <w:ind w:firstLine="480" w:firstLineChars="200"/>
        <w:jc w:val="left"/>
      </w:pPr>
      <w:r>
        <w:rPr>
          <w:rFonts w:hint="eastAsia" w:ascii="宋体" w:hAnsi="宋体" w:eastAsia="宋体" w:cs="宋体"/>
          <w:kern w:val="0"/>
          <w:sz w:val="24"/>
          <w:szCs w:val="24"/>
          <w:lang w:bidi="ar"/>
        </w:rPr>
        <w:t>2</w:t>
      </w:r>
      <w:r>
        <w:rPr>
          <w:rFonts w:ascii="宋体" w:hAnsi="宋体" w:eastAsia="宋体" w:cs="宋体"/>
          <w:kern w:val="0"/>
          <w:sz w:val="24"/>
          <w:szCs w:val="24"/>
          <w:lang w:bidi="ar"/>
        </w:rPr>
        <w:t>026年是“十五五”规划开局之年，也是中国共产党成立105周年、红军长征胜利90周年。东莞红色文化研究中心坚持以习近平新时代中国特色社会主义思想为指导，深入贯彻《党史学习教育工作条例》，锚定“研究+培训+服务”定位，深耕东纵精神、改革开放红色资源，推动红色文化赋能东莞高质量发展与立德树人。</w:t>
      </w:r>
    </w:p>
    <w:p w14:paraId="0CDA5D39">
      <w:pPr>
        <w:pStyle w:val="4"/>
        <w:keepNext w:val="0"/>
        <w:keepLines w:val="0"/>
        <w:widowControl/>
        <w:spacing w:line="360" w:lineRule="auto"/>
        <w:ind w:firstLine="482" w:firstLineChars="200"/>
        <w:rPr>
          <w:rFonts w:ascii="宋体" w:hAnsi="宋体" w:eastAsia="宋体" w:cs="宋体"/>
          <w:sz w:val="24"/>
          <w:szCs w:val="24"/>
        </w:rPr>
      </w:pPr>
      <w:r>
        <w:rPr>
          <w:rFonts w:hint="eastAsia" w:cs="宋体"/>
          <w:sz w:val="24"/>
          <w:szCs w:val="24"/>
        </w:rPr>
        <w:t>（一）</w:t>
      </w:r>
      <w:r>
        <w:rPr>
          <w:rFonts w:hint="eastAsia" w:ascii="宋体" w:hAnsi="宋体" w:eastAsia="宋体" w:cs="宋体"/>
          <w:sz w:val="24"/>
          <w:szCs w:val="24"/>
        </w:rPr>
        <w:t xml:space="preserve">深耕基础研究，产出标志成果 </w:t>
      </w:r>
    </w:p>
    <w:p w14:paraId="3037083C">
      <w:pPr>
        <w:pStyle w:val="6"/>
        <w:widowControl/>
        <w:spacing w:beforeAutospacing="0" w:afterAutospacing="0" w:line="360" w:lineRule="auto"/>
        <w:ind w:firstLine="480" w:firstLineChars="200"/>
        <w:rPr>
          <w:rFonts w:ascii="宋体" w:hAnsi="宋体" w:eastAsia="宋体" w:cs="宋体"/>
          <w:kern w:val="2"/>
          <w:szCs w:val="24"/>
        </w:rPr>
      </w:pPr>
      <w:r>
        <w:rPr>
          <w:rFonts w:hint="eastAsia" w:ascii="宋体" w:hAnsi="宋体" w:eastAsia="宋体" w:cs="宋体"/>
          <w:kern w:val="2"/>
          <w:szCs w:val="24"/>
        </w:rPr>
        <w:t>聚焦东莞大革命—土地革命—抗战—解放战争红色脉络，系统梳理袁振英、莫萃华及百花洞、老虎山战斗等本土史料，接续征编东莞改革开放口述史与民营经济发展红色经验。</w:t>
      </w:r>
    </w:p>
    <w:p w14:paraId="4A43A5EF">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1.加强学术团队建设</w:t>
      </w:r>
    </w:p>
    <w:p w14:paraId="2041AE3F">
      <w:pPr>
        <w:pStyle w:val="10"/>
        <w:spacing w:line="360" w:lineRule="auto"/>
        <w:ind w:firstLine="480"/>
        <w:rPr>
          <w:rFonts w:ascii="宋体" w:hAnsi="宋体" w:eastAsia="宋体" w:cs="宋体"/>
          <w:sz w:val="24"/>
          <w:szCs w:val="24"/>
        </w:rPr>
      </w:pPr>
      <w:r>
        <w:rPr>
          <w:rFonts w:hint="eastAsia" w:ascii="宋体" w:hAnsi="宋体" w:eastAsia="宋体" w:cs="宋体"/>
          <w:sz w:val="24"/>
          <w:szCs w:val="24"/>
        </w:rPr>
        <w:t>引进高水平学术人才，提高研究团队的整体实力。加强青年科研人员的培养，为他们的研究提供资金支持和学术指导。建立完善的评价和激励机制，提升科研人员的工作积极性和创造力。</w:t>
      </w:r>
    </w:p>
    <w:p w14:paraId="12C67A5C">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2.提高学术研究水平</w:t>
      </w:r>
    </w:p>
    <w:p w14:paraId="6350DC3C">
      <w:pPr>
        <w:pStyle w:val="10"/>
        <w:spacing w:line="360" w:lineRule="auto"/>
        <w:ind w:firstLine="480"/>
        <w:rPr>
          <w:rFonts w:ascii="宋体" w:hAnsi="宋体" w:eastAsia="宋体" w:cs="宋体"/>
          <w:sz w:val="24"/>
          <w:szCs w:val="24"/>
        </w:rPr>
      </w:pPr>
      <w:r>
        <w:rPr>
          <w:rFonts w:hint="eastAsia" w:ascii="宋体" w:hAnsi="宋体" w:eastAsia="宋体" w:cs="宋体"/>
          <w:sz w:val="24"/>
          <w:szCs w:val="24"/>
        </w:rPr>
        <w:t>鼓励研究中心成员参与国内外学术交流会议，拓宽研究视野。鼓励研究人员在重要学术期刊发表高质量的学术论文，提高学术声誉。2026年力争取得更为丰硕的研究成果：</w:t>
      </w:r>
    </w:p>
    <w:p w14:paraId="301DC835">
      <w:pPr>
        <w:pStyle w:val="10"/>
        <w:spacing w:line="360" w:lineRule="auto"/>
        <w:ind w:firstLine="480"/>
        <w:rPr>
          <w:rFonts w:ascii="宋体" w:hAnsi="宋体" w:eastAsia="宋体" w:cs="宋体"/>
          <w:sz w:val="24"/>
          <w:szCs w:val="24"/>
        </w:rPr>
      </w:pPr>
      <w:r>
        <w:rPr>
          <w:rFonts w:hint="eastAsia" w:ascii="宋体" w:hAnsi="宋体" w:eastAsia="宋体" w:cs="宋体"/>
          <w:sz w:val="24"/>
          <w:szCs w:val="24"/>
        </w:rPr>
        <w:t>（1）在人民日报、光明日报等主流报刊或核心期刊发表3篇以上论文；</w:t>
      </w:r>
    </w:p>
    <w:p w14:paraId="01966E00">
      <w:pPr>
        <w:pStyle w:val="10"/>
        <w:spacing w:line="360" w:lineRule="auto"/>
        <w:ind w:firstLine="480"/>
        <w:rPr>
          <w:rFonts w:ascii="宋体" w:hAnsi="宋体" w:eastAsia="宋体" w:cs="宋体"/>
          <w:sz w:val="24"/>
          <w:szCs w:val="24"/>
        </w:rPr>
      </w:pPr>
      <w:r>
        <w:rPr>
          <w:rFonts w:hint="eastAsia" w:ascii="宋体" w:hAnsi="宋体" w:eastAsia="宋体" w:cs="宋体"/>
          <w:sz w:val="24"/>
          <w:szCs w:val="24"/>
        </w:rPr>
        <w:t>（2）出版学术专著1-2部；</w:t>
      </w:r>
    </w:p>
    <w:p w14:paraId="0306BA30">
      <w:pPr>
        <w:pStyle w:val="10"/>
        <w:keepNext w:val="0"/>
        <w:keepLines w:val="0"/>
        <w:pageBreakBefore w:val="0"/>
        <w:kinsoku/>
        <w:wordWrap/>
        <w:overflowPunct/>
        <w:topLinePunct w:val="0"/>
        <w:autoSpaceDE/>
        <w:autoSpaceDN/>
        <w:bidi w:val="0"/>
        <w:adjustRightInd/>
        <w:snapToGrid/>
        <w:spacing w:line="360" w:lineRule="auto"/>
        <w:ind w:firstLine="480"/>
        <w:textAlignment w:val="auto"/>
        <w:rPr>
          <w:rFonts w:ascii="宋体" w:hAnsi="宋体" w:eastAsia="宋体" w:cs="宋体"/>
          <w:sz w:val="24"/>
          <w:szCs w:val="24"/>
        </w:rPr>
      </w:pPr>
      <w:r>
        <w:rPr>
          <w:rFonts w:hint="eastAsia" w:ascii="宋体" w:hAnsi="宋体" w:eastAsia="宋体" w:cs="宋体"/>
          <w:sz w:val="24"/>
          <w:szCs w:val="24"/>
        </w:rPr>
        <w:t>（3）成功申报市级以上科研项目3项；</w:t>
      </w:r>
    </w:p>
    <w:p w14:paraId="34218228">
      <w:pPr>
        <w:pStyle w:val="10"/>
        <w:keepNext w:val="0"/>
        <w:keepLines w:val="0"/>
        <w:pageBreakBefore w:val="0"/>
        <w:kinsoku/>
        <w:wordWrap/>
        <w:overflowPunct/>
        <w:topLinePunct w:val="0"/>
        <w:autoSpaceDE/>
        <w:autoSpaceDN/>
        <w:bidi w:val="0"/>
        <w:adjustRightInd/>
        <w:snapToGrid/>
        <w:spacing w:line="360" w:lineRule="auto"/>
        <w:ind w:firstLine="480"/>
        <w:textAlignment w:val="auto"/>
        <w:rPr>
          <w:rFonts w:ascii="宋体" w:hAnsi="宋体" w:eastAsia="宋体" w:cs="宋体"/>
          <w:sz w:val="24"/>
          <w:szCs w:val="24"/>
        </w:rPr>
      </w:pPr>
      <w:r>
        <w:rPr>
          <w:rFonts w:hint="eastAsia" w:ascii="宋体" w:hAnsi="宋体" w:eastAsia="宋体" w:cs="宋体"/>
          <w:sz w:val="24"/>
          <w:szCs w:val="24"/>
        </w:rPr>
        <w:t>（4） 力争一项调研咨询报告获得省部级领导批示、被省部级相关部门采纳；</w:t>
      </w:r>
    </w:p>
    <w:p w14:paraId="048AF8C9">
      <w:pPr>
        <w:pStyle w:val="10"/>
        <w:keepNext w:val="0"/>
        <w:keepLines w:val="0"/>
        <w:pageBreakBefore w:val="0"/>
        <w:kinsoku/>
        <w:wordWrap/>
        <w:overflowPunct/>
        <w:topLinePunct w:val="0"/>
        <w:autoSpaceDE/>
        <w:autoSpaceDN/>
        <w:bidi w:val="0"/>
        <w:adjustRightInd/>
        <w:snapToGrid/>
        <w:spacing w:line="360" w:lineRule="auto"/>
        <w:ind w:firstLine="480"/>
        <w:textAlignment w:val="auto"/>
        <w:rPr>
          <w:rFonts w:ascii="宋体" w:hAnsi="宋体" w:eastAsia="宋体" w:cs="宋体"/>
          <w:sz w:val="24"/>
          <w:szCs w:val="24"/>
        </w:rPr>
      </w:pPr>
      <w:r>
        <w:rPr>
          <w:rFonts w:hint="eastAsia" w:ascii="宋体" w:hAnsi="宋体" w:eastAsia="宋体" w:cs="宋体"/>
          <w:sz w:val="24"/>
          <w:szCs w:val="24"/>
        </w:rPr>
        <w:t>（5）力争《东莞红课》年内出版。</w:t>
      </w:r>
    </w:p>
    <w:p w14:paraId="6276DD58">
      <w:pPr>
        <w:pStyle w:val="4"/>
        <w:keepNext w:val="0"/>
        <w:keepLines w:val="0"/>
        <w:pageBreakBefore w:val="0"/>
        <w:widowControl/>
        <w:kinsoku/>
        <w:wordWrap/>
        <w:overflowPunct/>
        <w:topLinePunct w:val="0"/>
        <w:autoSpaceDE/>
        <w:autoSpaceDN/>
        <w:bidi w:val="0"/>
        <w:adjustRightInd/>
        <w:snapToGrid/>
        <w:spacing w:before="0" w:after="0" w:line="360" w:lineRule="auto"/>
        <w:ind w:firstLine="482" w:firstLineChars="200"/>
        <w:textAlignment w:val="auto"/>
        <w:rPr>
          <w:rFonts w:ascii="宋体" w:hAnsi="宋体" w:eastAsia="宋体" w:cs="宋体"/>
          <w:sz w:val="24"/>
          <w:szCs w:val="24"/>
        </w:rPr>
      </w:pPr>
      <w:r>
        <w:rPr>
          <w:rFonts w:hint="eastAsia" w:cs="宋体"/>
          <w:sz w:val="24"/>
          <w:szCs w:val="24"/>
        </w:rPr>
        <w:t>（二）</w:t>
      </w:r>
      <w:r>
        <w:rPr>
          <w:rFonts w:hint="eastAsia" w:ascii="宋体" w:hAnsi="宋体" w:eastAsia="宋体" w:cs="宋体"/>
          <w:sz w:val="24"/>
          <w:szCs w:val="24"/>
        </w:rPr>
        <w:t xml:space="preserve">做强宣教品牌，打通“三进”链路 </w:t>
      </w:r>
    </w:p>
    <w:p w14:paraId="05166282">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宋体"/>
          <w:kern w:val="2"/>
          <w:szCs w:val="24"/>
        </w:rPr>
      </w:pPr>
      <w:r>
        <w:rPr>
          <w:rFonts w:hint="eastAsia" w:ascii="宋体" w:hAnsi="宋体" w:eastAsia="宋体" w:cs="宋体"/>
          <w:kern w:val="2"/>
          <w:szCs w:val="24"/>
        </w:rPr>
        <w:t>紧扣建党105周年、长征胜利90周年，联动市委党史研究室开展“强国复兴有我”主题宣教；打造“东莞红课”思政矩阵，推动红色文化进高校思政课、进中小学研学、进园区企业党建；依托广东科技学院马院培育“青年红色宣讲团”，赴社区、老区村开展沉浸式宣讲。</w:t>
      </w:r>
    </w:p>
    <w:p w14:paraId="46CDD5D1">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1.促进与国内外学者之间的学术交流与合作，举办学术交流活动</w:t>
      </w:r>
    </w:p>
    <w:p w14:paraId="61907C6E">
      <w:pPr>
        <w:pStyle w:val="10"/>
        <w:spacing w:line="360" w:lineRule="auto"/>
        <w:ind w:firstLine="480"/>
        <w:rPr>
          <w:rFonts w:ascii="宋体" w:hAnsi="宋体" w:eastAsia="宋体" w:cs="宋体"/>
          <w:sz w:val="24"/>
          <w:szCs w:val="24"/>
        </w:rPr>
      </w:pPr>
      <w:r>
        <w:rPr>
          <w:rFonts w:hint="eastAsia" w:ascii="宋体" w:hAnsi="宋体" w:eastAsia="宋体" w:cs="宋体"/>
          <w:sz w:val="24"/>
          <w:szCs w:val="24"/>
        </w:rPr>
        <w:t>根据研究中心的研究方向和特色，举办全国性学术讨论会，邀请国内外知名学者分享研究成果和学术经验。不定期举办专题研讨会，鼓励与会者就某一领域的前沿问题进行深入交流和探讨。</w:t>
      </w:r>
    </w:p>
    <w:p w14:paraId="7F026911">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2.加强与地方文化事业单位的联系，开展系列调研活动</w:t>
      </w:r>
    </w:p>
    <w:p w14:paraId="1A859A9A">
      <w:pPr>
        <w:pStyle w:val="10"/>
        <w:keepNext w:val="0"/>
        <w:keepLines w:val="0"/>
        <w:pageBreakBefore w:val="0"/>
        <w:kinsoku/>
        <w:wordWrap/>
        <w:overflowPunct/>
        <w:topLinePunct w:val="0"/>
        <w:autoSpaceDE/>
        <w:autoSpaceDN/>
        <w:bidi w:val="0"/>
        <w:adjustRightInd/>
        <w:snapToGrid/>
        <w:spacing w:line="360" w:lineRule="auto"/>
        <w:ind w:firstLine="480"/>
        <w:textAlignment w:val="auto"/>
        <w:rPr>
          <w:rFonts w:ascii="宋体" w:hAnsi="宋体" w:eastAsia="宋体" w:cs="宋体"/>
          <w:sz w:val="24"/>
          <w:szCs w:val="24"/>
        </w:rPr>
      </w:pPr>
      <w:r>
        <w:rPr>
          <w:rFonts w:hint="eastAsia" w:ascii="宋体" w:hAnsi="宋体" w:eastAsia="宋体" w:cs="宋体"/>
          <w:sz w:val="24"/>
          <w:szCs w:val="24"/>
        </w:rPr>
        <w:t>研究中心将进一步加强与东莞市社科院、东莞史社科联、东莞市党史研究中心、东江纵队纪念馆等地方文化事业单位的合作，根据研究院的研究方向和地方文化单位的实际需求，确定调研的主题和目标，定期组织文化考察、采风等活动，深入了解东莞红色文化特色、发展动态和实际需求，撰写高质量的研究论文和调研报告，推动地方文化事业的发展。</w:t>
      </w:r>
    </w:p>
    <w:p w14:paraId="1288CF4E">
      <w:pPr>
        <w:pStyle w:val="4"/>
        <w:keepNext w:val="0"/>
        <w:keepLines w:val="0"/>
        <w:pageBreakBefore w:val="0"/>
        <w:widowControl/>
        <w:kinsoku/>
        <w:wordWrap/>
        <w:overflowPunct/>
        <w:topLinePunct w:val="0"/>
        <w:autoSpaceDE/>
        <w:autoSpaceDN/>
        <w:bidi w:val="0"/>
        <w:adjustRightInd/>
        <w:snapToGrid/>
        <w:spacing w:before="0" w:after="0" w:line="360" w:lineRule="auto"/>
        <w:ind w:firstLine="482" w:firstLineChars="200"/>
        <w:textAlignment w:val="auto"/>
        <w:rPr>
          <w:rFonts w:ascii="宋体" w:hAnsi="宋体" w:eastAsia="宋体" w:cs="宋体"/>
          <w:sz w:val="24"/>
          <w:szCs w:val="24"/>
        </w:rPr>
      </w:pPr>
      <w:r>
        <w:rPr>
          <w:rFonts w:hint="eastAsia" w:cs="宋体"/>
          <w:sz w:val="24"/>
          <w:szCs w:val="24"/>
        </w:rPr>
        <w:t>（三）</w:t>
      </w:r>
      <w:r>
        <w:rPr>
          <w:rFonts w:hint="eastAsia" w:ascii="宋体" w:hAnsi="宋体" w:eastAsia="宋体" w:cs="宋体"/>
          <w:sz w:val="24"/>
          <w:szCs w:val="24"/>
        </w:rPr>
        <w:t xml:space="preserve">活化资源利用，赋能文旅融合 </w:t>
      </w:r>
    </w:p>
    <w:p w14:paraId="25859025">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宋体"/>
          <w:kern w:val="2"/>
          <w:szCs w:val="24"/>
        </w:rPr>
      </w:pPr>
      <w:r>
        <w:rPr>
          <w:rFonts w:hint="eastAsia" w:ascii="宋体" w:hAnsi="宋体" w:eastAsia="宋体" w:cs="宋体"/>
          <w:kern w:val="2"/>
          <w:szCs w:val="24"/>
        </w:rPr>
        <w:t>协同红色场馆完成东莞红色史迹动态普查与数字化建档，推动“红色+智造”文旅转化；搭建校—馆—企协同平台，为红色场馆提供定制化运营方案。</w:t>
      </w:r>
    </w:p>
    <w:p w14:paraId="0FF7A6B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黑体" w:hAnsi="黑体" w:eastAsia="黑体" w:cs="黑体"/>
          <w:sz w:val="24"/>
          <w:szCs w:val="24"/>
        </w:rPr>
      </w:pPr>
      <w:r>
        <w:rPr>
          <w:rFonts w:hint="eastAsia" w:ascii="黑体" w:hAnsi="黑体" w:eastAsia="黑体" w:cs="黑体"/>
          <w:sz w:val="24"/>
          <w:szCs w:val="24"/>
        </w:rPr>
        <w:t>1.继续开展“引进来”活动</w:t>
      </w:r>
    </w:p>
    <w:p w14:paraId="2AC4B5EB">
      <w:pPr>
        <w:pStyle w:val="10"/>
        <w:spacing w:line="360" w:lineRule="auto"/>
        <w:ind w:firstLine="480" w:firstLineChars="0"/>
        <w:rPr>
          <w:rFonts w:ascii="宋体" w:hAnsi="宋体" w:eastAsia="宋体" w:cs="宋体"/>
          <w:sz w:val="24"/>
          <w:szCs w:val="24"/>
        </w:rPr>
      </w:pPr>
      <w:r>
        <w:rPr>
          <w:rFonts w:hint="eastAsia" w:ascii="宋体" w:hAnsi="宋体" w:eastAsia="宋体" w:cs="宋体"/>
          <w:sz w:val="24"/>
          <w:szCs w:val="24"/>
        </w:rPr>
        <w:t>继续加强与东江纵队纪念馆、太平手袋厂陈列馆、中国沉香博物馆、东莞市党史研究院的合作，邀请上述单位继续开展“送展入校”活动。邀请专家学者来校讲座，弘扬东莞红色文化，传承红色基因。</w:t>
      </w:r>
    </w:p>
    <w:p w14:paraId="5783CB9E">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2.持续开展“走出去”活动</w:t>
      </w:r>
    </w:p>
    <w:p w14:paraId="76273EAB">
      <w:pPr>
        <w:pStyle w:val="10"/>
        <w:keepNext w:val="0"/>
        <w:keepLines w:val="0"/>
        <w:pageBreakBefore w:val="0"/>
        <w:kinsoku/>
        <w:wordWrap/>
        <w:overflowPunct/>
        <w:topLinePunct w:val="0"/>
        <w:autoSpaceDE/>
        <w:autoSpaceDN/>
        <w:bidi w:val="0"/>
        <w:adjustRightInd/>
        <w:snapToGrid/>
        <w:spacing w:line="360" w:lineRule="auto"/>
        <w:ind w:firstLine="480" w:firstLineChars="0"/>
        <w:textAlignment w:val="auto"/>
        <w:rPr>
          <w:rFonts w:ascii="宋体" w:hAnsi="宋体" w:eastAsia="宋体" w:cs="宋体"/>
          <w:sz w:val="24"/>
          <w:szCs w:val="24"/>
        </w:rPr>
      </w:pPr>
      <w:r>
        <w:rPr>
          <w:rFonts w:hint="eastAsia" w:ascii="宋体" w:hAnsi="宋体" w:eastAsia="宋体" w:cs="宋体"/>
          <w:sz w:val="24"/>
          <w:szCs w:val="24"/>
        </w:rPr>
        <w:t>在既有“寻史东莞”的基础上，加强对东莞红色文化的寻访与宣传、传承活动。研究中心老师计划参观东莞市党史馆，中心老师带领学生赴东江纵队纪念馆、太平手袋厂陈列馆开展寻访活动。加强与团委的合作，将红色文化传承与百千万工程融合。</w:t>
      </w:r>
    </w:p>
    <w:p w14:paraId="5A9C10E5">
      <w:pPr>
        <w:pStyle w:val="4"/>
        <w:keepNext w:val="0"/>
        <w:keepLines w:val="0"/>
        <w:pageBreakBefore w:val="0"/>
        <w:widowControl/>
        <w:kinsoku/>
        <w:wordWrap/>
        <w:overflowPunct/>
        <w:topLinePunct w:val="0"/>
        <w:autoSpaceDE/>
        <w:autoSpaceDN/>
        <w:bidi w:val="0"/>
        <w:adjustRightInd/>
        <w:snapToGrid/>
        <w:spacing w:before="0" w:after="0" w:line="360" w:lineRule="auto"/>
        <w:ind w:firstLine="482" w:firstLineChars="200"/>
        <w:textAlignment w:val="auto"/>
        <w:rPr>
          <w:rFonts w:ascii="宋体" w:hAnsi="宋体" w:eastAsia="宋体" w:cs="宋体"/>
          <w:sz w:val="24"/>
          <w:szCs w:val="24"/>
        </w:rPr>
      </w:pPr>
      <w:r>
        <w:rPr>
          <w:rFonts w:hint="eastAsia" w:cs="宋体"/>
          <w:sz w:val="24"/>
          <w:szCs w:val="24"/>
        </w:rPr>
        <w:t>（四）</w:t>
      </w:r>
      <w:r>
        <w:rPr>
          <w:rFonts w:hint="eastAsia" w:ascii="宋体" w:hAnsi="宋体" w:eastAsia="宋体" w:cs="宋体"/>
          <w:sz w:val="24"/>
          <w:szCs w:val="24"/>
        </w:rPr>
        <w:t xml:space="preserve">拓展学术网络，夯实自身建设 </w:t>
      </w:r>
    </w:p>
    <w:p w14:paraId="3040F4E3">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宋体"/>
          <w:kern w:val="2"/>
          <w:szCs w:val="24"/>
        </w:rPr>
      </w:pPr>
      <w:r>
        <w:rPr>
          <w:rFonts w:hint="eastAsia" w:ascii="宋体" w:hAnsi="宋体" w:eastAsia="宋体" w:cs="宋体"/>
          <w:kern w:val="2"/>
          <w:szCs w:val="24"/>
        </w:rPr>
        <w:t>完善中心运行管理办法，组建跨校科研团队，培育青年骨干。规范意识形态阵地管理，确保各项任务落地见效，奋力建设湾区红色文化智库。</w:t>
      </w:r>
    </w:p>
    <w:p w14:paraId="46FF7E2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黑体" w:hAnsi="黑体" w:eastAsia="黑体" w:cs="黑体"/>
          <w:sz w:val="24"/>
          <w:szCs w:val="24"/>
        </w:rPr>
      </w:pPr>
      <w:r>
        <w:rPr>
          <w:rFonts w:hint="eastAsia" w:ascii="黑体" w:hAnsi="黑体" w:eastAsia="黑体" w:cs="黑体"/>
          <w:sz w:val="24"/>
          <w:szCs w:val="24"/>
        </w:rPr>
        <w:t>1.举办第二届“东莞红色文化高峰论坛”</w:t>
      </w:r>
    </w:p>
    <w:p w14:paraId="5298A31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hint="eastAsia" w:ascii="宋体" w:hAnsi="宋体" w:eastAsia="宋体" w:cs="宋体"/>
          <w:sz w:val="24"/>
          <w:szCs w:val="24"/>
        </w:rPr>
        <w:t>在成功举办第一届“东莞红色文化高峰论坛”的基础上，拟在11月份举办第二届“东莞红色文化高峰论坛”，邀请省内外专家参会，提升红色文化研究中心影响力。</w:t>
      </w:r>
    </w:p>
    <w:p w14:paraId="44B6B221">
      <w:pPr>
        <w:pStyle w:val="2"/>
        <w:ind w:firstLine="480" w:firstLineChars="200"/>
        <w:rPr>
          <w:rFonts w:ascii="黑体" w:hAnsi="黑体" w:eastAsia="黑体" w:cs="黑体"/>
          <w:kern w:val="2"/>
          <w:szCs w:val="24"/>
        </w:rPr>
      </w:pPr>
      <w:r>
        <w:rPr>
          <w:rFonts w:hint="eastAsia" w:ascii="黑体" w:hAnsi="黑体" w:eastAsia="黑体" w:cs="黑体"/>
          <w:kern w:val="2"/>
          <w:szCs w:val="24"/>
        </w:rPr>
        <w:t>2.举办第一期“红色文化服务地方资政报告培训会”</w:t>
      </w:r>
    </w:p>
    <w:p w14:paraId="2FDC7BF9">
      <w:pPr>
        <w:pStyle w:val="2"/>
        <w:ind w:firstLine="0"/>
        <w:rPr>
          <w:rFonts w:ascii="宋体" w:hAnsi="宋体" w:cs="宋体"/>
          <w:szCs w:val="24"/>
        </w:rPr>
      </w:pPr>
      <w:r>
        <w:rPr>
          <w:rFonts w:hint="eastAsia" w:ascii="宋体" w:hAnsi="宋体" w:cs="宋体"/>
          <w:kern w:val="2"/>
          <w:szCs w:val="24"/>
        </w:rPr>
        <w:t xml:space="preserve">    邀请东莞市社科院黄琦副院长来研究中心进行“红色文化服务地方资政报告”专题培训会，提升研究中心服务地方的能力和促进红色文化创新性发展和创造性转化。</w:t>
      </w:r>
    </w:p>
    <w:p w14:paraId="388CCD15">
      <w:pPr>
        <w:pStyle w:val="10"/>
        <w:spacing w:line="360" w:lineRule="auto"/>
        <w:ind w:firstLine="480" w:firstLineChars="0"/>
        <w:rPr>
          <w:rFonts w:ascii="宋体" w:hAnsi="宋体" w:eastAsia="宋体" w:cs="宋体"/>
          <w:sz w:val="24"/>
          <w:szCs w:val="24"/>
        </w:rPr>
      </w:pPr>
      <w:r>
        <w:rPr>
          <w:rFonts w:hint="eastAsia" w:ascii="宋体" w:hAnsi="宋体" w:eastAsia="宋体" w:cs="宋体"/>
          <w:sz w:val="24"/>
          <w:szCs w:val="24"/>
        </w:rPr>
        <w:t>2025年，在上级主管部门指导和学校的大力支持下，东莞红色文化研究中心的工作取得了一些成绩，但仍有许多不足之处，如省部级以上课题较少、高水平的成果不多、对地方文化发展的影响力有待增强等。在2026年的工作中，我们有信心迎难而上，肩负起文化遗产守护者和文化创新推动者的双重使命，为东莞红色文化的“创造性转化和创新性发展”做出更大成绩，为地方文化事业发展出谋献策贡献智慧。东莞红色文化研究中心本身研究视域较窄，又处于民办学校，与公办高校中的研究基地相比存在有先天不足，期望主管部门能按照分类管理的原则，在经费、项目等方面给予更多的支持和帮助！</w:t>
      </w:r>
    </w:p>
    <w:p w14:paraId="0564D62C">
      <w:pPr>
        <w:pStyle w:val="10"/>
        <w:spacing w:line="360" w:lineRule="auto"/>
        <w:ind w:firstLine="480"/>
        <w:rPr>
          <w:rFonts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19F" w:csb1="00000000"/>
  </w:font>
  <w:font w:name="仿宋_GB2312">
    <w:altName w:val="仿宋"/>
    <w:panose1 w:val="020B0604020202020204"/>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283E8"/>
    <w:multiLevelType w:val="singleLevel"/>
    <w:tmpl w:val="041283E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302958"/>
    <w:rsid w:val="00017DB6"/>
    <w:rsid w:val="00057380"/>
    <w:rsid w:val="00073B6A"/>
    <w:rsid w:val="000F5E4F"/>
    <w:rsid w:val="000F68EC"/>
    <w:rsid w:val="00105A20"/>
    <w:rsid w:val="00155AC4"/>
    <w:rsid w:val="001A5240"/>
    <w:rsid w:val="001B709A"/>
    <w:rsid w:val="001B761B"/>
    <w:rsid w:val="001D6473"/>
    <w:rsid w:val="0025143C"/>
    <w:rsid w:val="0026001A"/>
    <w:rsid w:val="00276D1B"/>
    <w:rsid w:val="0028357C"/>
    <w:rsid w:val="00302958"/>
    <w:rsid w:val="00327C41"/>
    <w:rsid w:val="00341B7C"/>
    <w:rsid w:val="00371BBF"/>
    <w:rsid w:val="003E006E"/>
    <w:rsid w:val="004007C3"/>
    <w:rsid w:val="0046006A"/>
    <w:rsid w:val="004676EC"/>
    <w:rsid w:val="00467EA0"/>
    <w:rsid w:val="004C1393"/>
    <w:rsid w:val="00510B07"/>
    <w:rsid w:val="00592C76"/>
    <w:rsid w:val="005C2948"/>
    <w:rsid w:val="005D2D71"/>
    <w:rsid w:val="005F4967"/>
    <w:rsid w:val="0062360D"/>
    <w:rsid w:val="00636EEE"/>
    <w:rsid w:val="0066283C"/>
    <w:rsid w:val="0067263E"/>
    <w:rsid w:val="007816C2"/>
    <w:rsid w:val="00896D6D"/>
    <w:rsid w:val="008D638F"/>
    <w:rsid w:val="009138E6"/>
    <w:rsid w:val="00953881"/>
    <w:rsid w:val="00967E38"/>
    <w:rsid w:val="0097025C"/>
    <w:rsid w:val="00982CC5"/>
    <w:rsid w:val="00987E8F"/>
    <w:rsid w:val="00A55971"/>
    <w:rsid w:val="00B9361E"/>
    <w:rsid w:val="00BC0B04"/>
    <w:rsid w:val="00C048DA"/>
    <w:rsid w:val="00C62508"/>
    <w:rsid w:val="00C751B5"/>
    <w:rsid w:val="00C85832"/>
    <w:rsid w:val="00CD3729"/>
    <w:rsid w:val="00CD3B2B"/>
    <w:rsid w:val="00CE5888"/>
    <w:rsid w:val="00D266F8"/>
    <w:rsid w:val="00D314F2"/>
    <w:rsid w:val="00D43648"/>
    <w:rsid w:val="00D437C9"/>
    <w:rsid w:val="00D515B9"/>
    <w:rsid w:val="00DF7BE1"/>
    <w:rsid w:val="00E535D1"/>
    <w:rsid w:val="00E70A65"/>
    <w:rsid w:val="00EB22EF"/>
    <w:rsid w:val="00F973FE"/>
    <w:rsid w:val="01AC0AAE"/>
    <w:rsid w:val="040D3BCD"/>
    <w:rsid w:val="0558049A"/>
    <w:rsid w:val="066A4985"/>
    <w:rsid w:val="098728B2"/>
    <w:rsid w:val="0AA113F9"/>
    <w:rsid w:val="0B1C0FD3"/>
    <w:rsid w:val="0FA43172"/>
    <w:rsid w:val="0FA84970"/>
    <w:rsid w:val="14790B79"/>
    <w:rsid w:val="1B18280F"/>
    <w:rsid w:val="1C6930E9"/>
    <w:rsid w:val="1DAB44B7"/>
    <w:rsid w:val="21AC6A89"/>
    <w:rsid w:val="21B51CC3"/>
    <w:rsid w:val="21D74A07"/>
    <w:rsid w:val="24EA02AB"/>
    <w:rsid w:val="290A569E"/>
    <w:rsid w:val="29F94062"/>
    <w:rsid w:val="2E7301B1"/>
    <w:rsid w:val="2F2820FC"/>
    <w:rsid w:val="30AC152E"/>
    <w:rsid w:val="30C95219"/>
    <w:rsid w:val="30CA0EFA"/>
    <w:rsid w:val="316A7C2C"/>
    <w:rsid w:val="32061D3D"/>
    <w:rsid w:val="34F816A7"/>
    <w:rsid w:val="35C10FB4"/>
    <w:rsid w:val="36E96AA7"/>
    <w:rsid w:val="39964C0C"/>
    <w:rsid w:val="3BF9665A"/>
    <w:rsid w:val="3C821209"/>
    <w:rsid w:val="3CDA2F9F"/>
    <w:rsid w:val="3E9F580B"/>
    <w:rsid w:val="3F625A97"/>
    <w:rsid w:val="40BE212B"/>
    <w:rsid w:val="40CF3078"/>
    <w:rsid w:val="433C187A"/>
    <w:rsid w:val="45725A27"/>
    <w:rsid w:val="459A5BB6"/>
    <w:rsid w:val="48A42892"/>
    <w:rsid w:val="48B52B0A"/>
    <w:rsid w:val="4C6B2B41"/>
    <w:rsid w:val="4CAA1F4A"/>
    <w:rsid w:val="4E7A580B"/>
    <w:rsid w:val="4EEA7AE7"/>
    <w:rsid w:val="50EF3368"/>
    <w:rsid w:val="54E76FE3"/>
    <w:rsid w:val="56A56CCC"/>
    <w:rsid w:val="59BA157C"/>
    <w:rsid w:val="5B3B4755"/>
    <w:rsid w:val="5B5A093B"/>
    <w:rsid w:val="5DB26247"/>
    <w:rsid w:val="5DBC388C"/>
    <w:rsid w:val="5F4218FB"/>
    <w:rsid w:val="6022031E"/>
    <w:rsid w:val="611F2AAF"/>
    <w:rsid w:val="61FE4C14"/>
    <w:rsid w:val="63CE1173"/>
    <w:rsid w:val="65A75B57"/>
    <w:rsid w:val="66B95626"/>
    <w:rsid w:val="69147433"/>
    <w:rsid w:val="6A445335"/>
    <w:rsid w:val="6CF449A1"/>
    <w:rsid w:val="6F7C1107"/>
    <w:rsid w:val="7060454A"/>
    <w:rsid w:val="75A40B10"/>
    <w:rsid w:val="76A15D65"/>
    <w:rsid w:val="79D43F4C"/>
    <w:rsid w:val="7A11181C"/>
    <w:rsid w:val="7B856AD8"/>
    <w:rsid w:val="7DB05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3"/>
    <w:basedOn w:val="1"/>
    <w:next w:val="1"/>
    <w:link w:val="11"/>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uto"/>
      <w:ind w:firstLine="420"/>
      <w:textAlignment w:val="baseline"/>
    </w:pPr>
    <w:rPr>
      <w:rFonts w:ascii="Calibri" w:hAnsi="Calibri" w:eastAsia="宋体"/>
      <w:kern w:val="0"/>
      <w:sz w:val="24"/>
    </w:rPr>
  </w:style>
  <w:style w:type="paragraph" w:styleId="5">
    <w:name w:val="Body Text"/>
    <w:basedOn w:val="1"/>
    <w:link w:val="12"/>
    <w:qFormat/>
    <w:uiPriority w:val="0"/>
    <w:pPr>
      <w:spacing w:line="360" w:lineRule="auto"/>
      <w:ind w:firstLine="640" w:firstLineChars="200"/>
    </w:pPr>
    <w:rPr>
      <w:rFonts w:ascii="仿宋" w:hAnsi="仿宋" w:eastAsia="宋体" w:cs="仿宋"/>
      <w:sz w:val="24"/>
      <w:szCs w:val="24"/>
      <w:lang w:val="zh-CN" w:bidi="zh-CN"/>
    </w:rPr>
  </w:style>
  <w:style w:type="paragraph" w:styleId="6">
    <w:name w:val="Normal (Web)"/>
    <w:basedOn w:val="1"/>
    <w:unhideWhenUsed/>
    <w:qFormat/>
    <w:uiPriority w:val="99"/>
    <w:pPr>
      <w:spacing w:beforeAutospacing="1" w:afterAutospacing="1"/>
      <w:jc w:val="left"/>
    </w:pPr>
    <w:rPr>
      <w:rFonts w:cs="Times New Roman"/>
      <w:kern w:val="0"/>
      <w:sz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标题 3 字符"/>
    <w:basedOn w:val="9"/>
    <w:link w:val="4"/>
    <w:semiHidden/>
    <w:uiPriority w:val="9"/>
    <w:rPr>
      <w:rFonts w:asciiTheme="minorHAnsi" w:hAnsiTheme="minorHAnsi" w:eastAsiaTheme="minorEastAsia" w:cstheme="minorBidi"/>
      <w:b/>
      <w:bCs/>
      <w:kern w:val="2"/>
      <w:sz w:val="32"/>
      <w:szCs w:val="32"/>
    </w:rPr>
  </w:style>
  <w:style w:type="character" w:customStyle="1" w:styleId="12">
    <w:name w:val="正文文本 字符"/>
    <w:basedOn w:val="9"/>
    <w:link w:val="5"/>
    <w:qFormat/>
    <w:uiPriority w:val="0"/>
    <w:rPr>
      <w:rFonts w:ascii="仿宋" w:hAnsi="仿宋" w:cs="仿宋"/>
      <w:kern w:val="2"/>
      <w:sz w:val="24"/>
      <w:szCs w:val="24"/>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2092</Words>
  <Characters>2316</Characters>
  <Lines>96</Lines>
  <Paragraphs>60</Paragraphs>
  <TotalTime>7</TotalTime>
  <ScaleCrop>false</ScaleCrop>
  <LinksUpToDate>false</LinksUpToDate>
  <CharactersWithSpaces>2320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2026-07-23T03:37:00Z</dcterms:created>
  <dc:creator>a</dc:creator>
  <cp:lastModifiedBy>微信用户</cp:lastModifiedBy>
  <dcterms:modified xsi:type="dcterms:W3CDTF">2026-07-23T05:25:53Z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7CD83B6D349246C990F74CDD5E483C05_12</vt:lpwstr>
  </property>
  <property fmtid="{D5CDD505-2E9C-101B-9397-08002B2CF9AE}" pid="4" name="KSOTemplateDocerSaveRecord">
    <vt:lpwstr>eyJoZGlkIjoiOGIzMGU5NzRlZDIxZTNkNjBmM2YyODlkNjMyMDFkNDQiLCJ1c2VySWQiOiIxMzQwMzU5MDQ4In0=</vt:lpwstr>
  </property>
</Properties>
</file>