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2"/>
        <w:gridCol w:w="874"/>
        <w:gridCol w:w="3070"/>
        <w:gridCol w:w="739"/>
        <w:gridCol w:w="645"/>
        <w:gridCol w:w="462"/>
        <w:gridCol w:w="675"/>
        <w:gridCol w:w="1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8522" w:type="dxa"/>
            <w:gridSpan w:val="8"/>
            <w:tcBorders>
              <w:top w:val="single" w:color="000000" w:sz="4" w:space="0"/>
              <w:left w:val="single" w:color="000000" w:sz="4" w:space="0"/>
              <w:bottom w:val="single" w:color="000000" w:sz="4" w:space="0"/>
              <w:right w:val="single" w:color="000000" w:sz="4" w:space="0"/>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广科松山湖校区教学生活区28~32号楼-球场地面工程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4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87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07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256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07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142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4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07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2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28号楼篮球场</w:t>
            </w:r>
          </w:p>
        </w:tc>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丙烯酸面层</w:t>
            </w:r>
          </w:p>
        </w:tc>
        <w:tc>
          <w:tcPr>
            <w:tcW w:w="30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1.面涂3厚丙烯酸树脂防滑涂料（颜色详见平面铺装，由专业公司施工）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2.含划线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3.底层混凝土面层打磨清洗</w:t>
            </w:r>
          </w:p>
        </w:tc>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675.25</w:t>
            </w:r>
          </w:p>
        </w:tc>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篮球架</w:t>
            </w:r>
          </w:p>
        </w:tc>
        <w:tc>
          <w:tcPr>
            <w:tcW w:w="30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1.移动式篮球架</w:t>
            </w:r>
          </w:p>
        </w:tc>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副</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29号楼羽毛球场</w:t>
            </w:r>
          </w:p>
        </w:tc>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jc w:val="center"/>
        </w:trPr>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丙烯酸面层</w:t>
            </w:r>
          </w:p>
        </w:tc>
        <w:tc>
          <w:tcPr>
            <w:tcW w:w="30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1.面涂3厚丙烯酸树脂防滑涂料（颜色详见平面铺装，由专业公司施工）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2.含划线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3.底层混凝土面层打磨清洗</w:t>
            </w:r>
          </w:p>
        </w:tc>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320.17</w:t>
            </w:r>
          </w:p>
        </w:tc>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羽毛球网</w:t>
            </w:r>
          </w:p>
        </w:tc>
        <w:tc>
          <w:tcPr>
            <w:tcW w:w="30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1.标准球场网</w:t>
            </w:r>
          </w:p>
        </w:tc>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联动无界（羽之翼-BP95）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394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30号楼</w:t>
            </w:r>
          </w:p>
        </w:tc>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弹性面层</w:t>
            </w:r>
          </w:p>
        </w:tc>
        <w:tc>
          <w:tcPr>
            <w:tcW w:w="30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1.面涂3厚丙烯酸树脂防滑涂料（颜色详见平面铺装，由专业公司施工）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2.含划线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3.底层混凝土面层打磨清洗</w:t>
            </w:r>
          </w:p>
        </w:tc>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829.23</w:t>
            </w:r>
          </w:p>
        </w:tc>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小品</w:t>
            </w:r>
          </w:p>
        </w:tc>
        <w:tc>
          <w:tcPr>
            <w:tcW w:w="30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乒乓球桌</w:t>
            </w:r>
          </w:p>
        </w:tc>
        <w:tc>
          <w:tcPr>
            <w:tcW w:w="30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1.名称:乒乓球桌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2.规格:2740x1525x760mm</w:t>
            </w:r>
          </w:p>
        </w:tc>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凯捷制造（群星KJ-Q7)绿色护眼25mm加厚桌面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太极揉推器</w:t>
            </w:r>
          </w:p>
        </w:tc>
        <w:tc>
          <w:tcPr>
            <w:tcW w:w="30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1.名称:太极揉推器</w:t>
            </w:r>
          </w:p>
        </w:tc>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4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凯捷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jc w:val="center"/>
        </w:trPr>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单人水车</w:t>
            </w:r>
          </w:p>
        </w:tc>
        <w:tc>
          <w:tcPr>
            <w:tcW w:w="30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1.名称:单人水车</w:t>
            </w:r>
          </w:p>
        </w:tc>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jc w:val="center"/>
        </w:trPr>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划船器</w:t>
            </w:r>
          </w:p>
        </w:tc>
        <w:tc>
          <w:tcPr>
            <w:tcW w:w="30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1.名称:划船器</w:t>
            </w:r>
          </w:p>
        </w:tc>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凯捷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jc w:val="center"/>
        </w:trPr>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收腹器</w:t>
            </w:r>
          </w:p>
        </w:tc>
        <w:tc>
          <w:tcPr>
            <w:tcW w:w="30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1.名称:收腹器</w:t>
            </w:r>
          </w:p>
        </w:tc>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凯捷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jc w:val="center"/>
        </w:trPr>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便携式可移动羽毛球网架</w:t>
            </w:r>
          </w:p>
        </w:tc>
        <w:tc>
          <w:tcPr>
            <w:tcW w:w="30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1.名称:便携式可移动羽毛球网架</w:t>
            </w:r>
          </w:p>
        </w:tc>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4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永动制造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jc w:val="center"/>
        </w:trPr>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0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0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注明税率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jc w:val="center"/>
        </w:trPr>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30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含税合计</w:t>
            </w:r>
          </w:p>
        </w:tc>
        <w:tc>
          <w:tcPr>
            <w:tcW w:w="7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46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i w:val="0"/>
                <w:iCs w:val="0"/>
                <w:color w:val="000000"/>
                <w:sz w:val="20"/>
                <w:szCs w:val="20"/>
                <w:u w:val="none"/>
              </w:rPr>
            </w:pPr>
          </w:p>
        </w:tc>
        <w:tc>
          <w:tcPr>
            <w:tcW w:w="14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bl>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1155"/>
        <w:gridCol w:w="3159"/>
        <w:gridCol w:w="437"/>
        <w:gridCol w:w="846"/>
        <w:gridCol w:w="606"/>
        <w:gridCol w:w="696"/>
        <w:gridCol w:w="1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jc w:val="center"/>
        </w:trPr>
        <w:tc>
          <w:tcPr>
            <w:tcW w:w="8522" w:type="dxa"/>
            <w:gridSpan w:val="8"/>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广州南洋理工职业学院旧村道运动场改造工程（球场地面）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3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15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项目特征描述</w:t>
            </w:r>
          </w:p>
        </w:tc>
        <w:tc>
          <w:tcPr>
            <w:tcW w:w="43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单位</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30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43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315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43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6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球场地面【D-1.01/2】</w:t>
            </w:r>
          </w:p>
        </w:tc>
        <w:tc>
          <w:tcPr>
            <w:tcW w:w="31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1.面涂3厚丙烯酸树脂防滑涂料（颜色详见平面铺装，由专业公司施工）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2.含划线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4.底层混凝土面层打磨清洗</w:t>
            </w:r>
          </w:p>
        </w:tc>
        <w:tc>
          <w:tcPr>
            <w:tcW w:w="4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3195.92</w:t>
            </w:r>
          </w:p>
        </w:tc>
        <w:tc>
          <w:tcPr>
            <w:tcW w:w="6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7"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篮球场地面【D-1.01/3】</w:t>
            </w:r>
          </w:p>
        </w:tc>
        <w:tc>
          <w:tcPr>
            <w:tcW w:w="31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1.面涂3厚丙烯酸树脂防滑涂料（颜色详见平面铺装，由专业公司施工）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2.含白色划线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4.底层混凝土面层打磨清洗</w:t>
            </w:r>
          </w:p>
        </w:tc>
        <w:tc>
          <w:tcPr>
            <w:tcW w:w="4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3345.04</w:t>
            </w:r>
          </w:p>
        </w:tc>
        <w:tc>
          <w:tcPr>
            <w:tcW w:w="6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围网【D-4.01/2】高度4米，含大门</w:t>
            </w:r>
          </w:p>
        </w:tc>
        <w:tc>
          <w:tcPr>
            <w:tcW w:w="31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1.Φ60x5热镀锌钢管,青色氟碳漆饰面（两道漆面）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2.Φ4.5青色包塑网，网格为50x50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3.100厚二次浇筑C20混凝土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4.加强肋：60x60x10厚热镀锌直角钢板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5.400x400 C20混凝土基础</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6.C15混凝土垫层</w:t>
            </w:r>
          </w:p>
        </w:tc>
        <w:tc>
          <w:tcPr>
            <w:tcW w:w="4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750.09</w:t>
            </w:r>
          </w:p>
        </w:tc>
        <w:tc>
          <w:tcPr>
            <w:tcW w:w="6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提前做基础及预埋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水沟面层</w:t>
            </w:r>
          </w:p>
        </w:tc>
        <w:tc>
          <w:tcPr>
            <w:tcW w:w="31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1.面涂3厚丙烯酸树脂防滑涂料（颜色详见平面铺装，由专业公司施工）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2.含白色划线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3.底层混凝土面层打磨清洗</w:t>
            </w:r>
          </w:p>
        </w:tc>
        <w:tc>
          <w:tcPr>
            <w:tcW w:w="4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384.4</w:t>
            </w:r>
          </w:p>
        </w:tc>
        <w:tc>
          <w:tcPr>
            <w:tcW w:w="6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可移动篮球架</w:t>
            </w:r>
          </w:p>
        </w:tc>
        <w:tc>
          <w:tcPr>
            <w:tcW w:w="31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1.可移动篮球架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2.按标准尺寸,只供参考,由甲方按需要选购成品</w:t>
            </w:r>
          </w:p>
        </w:tc>
        <w:tc>
          <w:tcPr>
            <w:tcW w:w="4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金陵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可移动排球网</w:t>
            </w:r>
          </w:p>
        </w:tc>
        <w:tc>
          <w:tcPr>
            <w:tcW w:w="31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1.可移动排球网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2.按标准尺寸,只供参考,由甲方按需要选购成品</w:t>
            </w:r>
          </w:p>
        </w:tc>
        <w:tc>
          <w:tcPr>
            <w:tcW w:w="4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预埋式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可移动网球网</w:t>
            </w:r>
          </w:p>
        </w:tc>
        <w:tc>
          <w:tcPr>
            <w:tcW w:w="31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1.可移动网球网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2.按标准尺寸,只供参考,由甲方按需要选购成品</w:t>
            </w:r>
          </w:p>
        </w:tc>
        <w:tc>
          <w:tcPr>
            <w:tcW w:w="4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恰好时（预埋式TP3000）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4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可移动羽毛球网</w:t>
            </w:r>
          </w:p>
        </w:tc>
        <w:tc>
          <w:tcPr>
            <w:tcW w:w="31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1.可移动羽毛球网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2.按标准尺寸,只供参考,由甲方按需要选购成品</w:t>
            </w:r>
          </w:p>
        </w:tc>
        <w:tc>
          <w:tcPr>
            <w:tcW w:w="43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联动无界（羽之翼-BP95）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64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 w:hAnsi="??" w:eastAsia="??" w: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64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 w:hAnsi="??" w:eastAsia="??" w:cs="??"/>
                <w:i w:val="0"/>
                <w:iCs w:val="0"/>
                <w:color w:val="000000"/>
                <w:sz w:val="18"/>
                <w:szCs w:val="18"/>
                <w:u w:val="none"/>
              </w:rPr>
            </w:pPr>
            <w:r>
              <w:rPr>
                <w:rFonts w:hint="default" w:ascii="??" w:hAnsi="??" w:eastAsia="??" w:cs="??"/>
                <w:i w:val="0"/>
                <w:iCs w:val="0"/>
                <w:color w:val="000000"/>
                <w:kern w:val="0"/>
                <w:sz w:val="18"/>
                <w:szCs w:val="18"/>
                <w:u w:val="none"/>
                <w:lang w:val="en-US" w:eastAsia="zh-CN" w:bidi="ar"/>
              </w:rPr>
              <w:t>注明税率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64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含税合计</w:t>
            </w:r>
          </w:p>
        </w:tc>
        <w:tc>
          <w:tcPr>
            <w:tcW w:w="6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 w:hAnsi="??" w:eastAsia="??" w:cs="??"/>
                <w:i w:val="0"/>
                <w:iCs w:val="0"/>
                <w:color w:val="000000"/>
                <w:sz w:val="18"/>
                <w:szCs w:val="18"/>
                <w:u w:val="none"/>
              </w:rPr>
            </w:pPr>
          </w:p>
        </w:tc>
      </w:tr>
    </w:tbl>
    <w:p/>
    <w:tbl>
      <w:tblPr>
        <w:tblStyle w:val="2"/>
        <w:tblW w:w="85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9"/>
        <w:gridCol w:w="946"/>
        <w:gridCol w:w="3064"/>
        <w:gridCol w:w="607"/>
        <w:gridCol w:w="911"/>
        <w:gridCol w:w="718"/>
        <w:gridCol w:w="893"/>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jc w:val="center"/>
        </w:trPr>
        <w:tc>
          <w:tcPr>
            <w:tcW w:w="8526" w:type="dxa"/>
            <w:gridSpan w:val="8"/>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36"/>
                <w:szCs w:val="36"/>
                <w:u w:val="none"/>
              </w:rPr>
            </w:pPr>
            <w:r>
              <w:rPr>
                <w:rFonts w:hint="default" w:ascii="仿宋_GB2312" w:hAnsi="宋体" w:eastAsia="仿宋_GB2312" w:cs="仿宋_GB2312"/>
                <w:b/>
                <w:bCs/>
                <w:i w:val="0"/>
                <w:iCs w:val="0"/>
                <w:color w:val="000000"/>
                <w:kern w:val="0"/>
                <w:sz w:val="36"/>
                <w:szCs w:val="36"/>
                <w:u w:val="none"/>
                <w:lang w:val="en-US" w:eastAsia="zh-CN" w:bidi="ar"/>
              </w:rPr>
              <w:t>华贸学校实训室地下室球场工程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单价（元）</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合价（元）</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铺设丙烯酸面层</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素地打磨清理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2mm厚丙烯酸面层</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2270.87 </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铺设硅PU面层</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素地打磨清理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5mm厚硅PU面层</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m²</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286.72 </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场地划线</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标准球场划线，人工涂划，包括所有的羽毛球场及匹克球场</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球场灯光</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LED200W灯具</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盏</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130.00 </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匹克球网架+网</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可移动式的</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 </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羽毛球网架+网</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可移动式的</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16.00 </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围网</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横管:60X3.0热镀锌管立柱:80pX4.0 热镀锌管3.8中包塑网:孔距50X50,预埋钢板 150X150X10，拉爆螺丝固定，围网高度为 4米、立柱间距为3米</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264.00 </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围网大门</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1、规格：1500mm*2000mm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2、含插销、门页,等配件</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 </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照明布线</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1、名称:管内穿线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2、配线形式:照明线路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3、型号:ZC-RVV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4、规格:3*2.5mm2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5、材质:铜芯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6、含刚性难燃管 PC20套管</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2451.80 </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电箱</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1、室内配电箱 AL1箱体尺寸：防护等级IP54、500*700*250mm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2、内含有开关</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拆除停车限位板</w:t>
            </w:r>
          </w:p>
        </w:tc>
        <w:tc>
          <w:tcPr>
            <w:tcW w:w="3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100.00 </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税金（9%）</w:t>
            </w:r>
          </w:p>
        </w:tc>
        <w:tc>
          <w:tcPr>
            <w:tcW w:w="5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宋体" w:hAnsi="宋体" w:eastAsia="宋体" w:cs="宋体"/>
                <w:i w:val="0"/>
                <w:iCs w:val="0"/>
                <w:color w:val="000000"/>
                <w:sz w:val="20"/>
                <w:szCs w:val="20"/>
                <w:u w:val="none"/>
                <w:lang w:val="en-US" w:eastAsia="zh-CN"/>
              </w:rPr>
            </w:pPr>
            <w:r>
              <w:rPr>
                <w:rFonts w:hint="eastAsia" w:ascii="??" w:hAnsi="??" w:eastAsia="??" w:cs="??"/>
                <w:i w:val="0"/>
                <w:iCs w:val="0"/>
                <w:color w:val="000000"/>
                <w:kern w:val="0"/>
                <w:sz w:val="18"/>
                <w:szCs w:val="18"/>
                <w:u w:val="none"/>
                <w:lang w:val="en-US" w:eastAsia="zh-CN" w:bidi="ar"/>
              </w:rPr>
              <w:t>注明税率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含税合价</w:t>
            </w:r>
          </w:p>
        </w:tc>
        <w:tc>
          <w:tcPr>
            <w:tcW w:w="5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p>
        </w:tc>
      </w:tr>
    </w:tbl>
    <w:p>
      <w:pPr>
        <w:numPr>
          <w:ilvl w:val="0"/>
          <w:numId w:val="0"/>
        </w:numPr>
        <w:spacing w:line="500" w:lineRule="exact"/>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说明:</w:t>
      </w:r>
    </w:p>
    <w:p>
      <w:pPr>
        <w:numPr>
          <w:ilvl w:val="0"/>
          <w:numId w:val="1"/>
        </w:numPr>
        <w:spacing w:line="500" w:lineRule="exact"/>
        <w:rPr>
          <w:rFonts w:hint="eastAsia" w:ascii="仿宋" w:hAnsi="仿宋" w:eastAsia="仿宋" w:cs="仿宋"/>
          <w:color w:val="auto"/>
          <w:sz w:val="24"/>
          <w:szCs w:val="24"/>
          <w:shd w:val="clear" w:color="auto" w:fill="FFFFFF"/>
          <w:lang w:val="en-US" w:eastAsia="zh-CN"/>
        </w:rPr>
      </w:pPr>
      <w:r>
        <w:rPr>
          <w:rFonts w:hint="eastAsia" w:ascii="仿宋" w:hAnsi="仿宋" w:eastAsia="仿宋" w:cs="仿宋"/>
          <w:color w:val="auto"/>
          <w:sz w:val="24"/>
          <w:szCs w:val="24"/>
          <w:shd w:val="clear" w:color="auto" w:fill="FFFFFF"/>
          <w:lang w:val="en-US" w:eastAsia="zh-CN"/>
        </w:rPr>
        <w:t>投标人必须提供生产厂家针对本项目为其出具的授权书原件；具有国家体育用品质量监督检验中心出具的检验报告；投标时现场提供球场地面材质及围网样品作为评标和工程验收的依据；</w:t>
      </w:r>
    </w:p>
    <w:p>
      <w:pPr>
        <w:numPr>
          <w:ilvl w:val="0"/>
          <w:numId w:val="1"/>
        </w:numPr>
        <w:spacing w:line="500" w:lineRule="exact"/>
        <w:rPr>
          <w:rFonts w:hint="default"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投标单位必须严格按照报价清单进行报价，清单中未注明品牌的投标单位必须注明报价品牌否则视为无效报价；</w:t>
      </w:r>
      <w:bookmarkStart w:id="0" w:name="_GoBack"/>
      <w:bookmarkEnd w:id="0"/>
    </w:p>
    <w:p>
      <w:pPr>
        <w:numPr>
          <w:ilvl w:val="0"/>
          <w:numId w:val="1"/>
        </w:numPr>
        <w:spacing w:line="500" w:lineRule="exact"/>
        <w:rPr>
          <w:rFonts w:hint="default"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质保期：本工程整体保修期为3年；</w:t>
      </w:r>
    </w:p>
    <w:p>
      <w:pPr>
        <w:numPr>
          <w:ilvl w:val="0"/>
          <w:numId w:val="1"/>
        </w:numPr>
        <w:spacing w:line="500" w:lineRule="exact"/>
        <w:rPr>
          <w:rFonts w:hint="default"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付款方式：项目工程整体完工且经甲方验收合格后，支付至合同结算价款的 97 %；剩余 3%作为质保金，待项目工程整体验收合格满2年后一次性结清。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
    <w:altName w:val="AMGD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MGDT">
    <w:panose1 w:val="02000400000000000000"/>
    <w:charset w:val="00"/>
    <w:family w:val="auto"/>
    <w:pitch w:val="default"/>
    <w:sig w:usb0="80000003"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622A94"/>
    <w:multiLevelType w:val="singleLevel"/>
    <w:tmpl w:val="FC622A9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ZGJiODBiOTRkMTNjYjBhMGIxZjNhNTc0MGEzZDAifQ=="/>
  </w:docVars>
  <w:rsids>
    <w:rsidRoot w:val="00000000"/>
    <w:rsid w:val="4FF452DC"/>
    <w:rsid w:val="6488032E"/>
    <w:rsid w:val="69C95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2023-07-13T09:19:00Z</dcterms:created>
  <dc:creator>ASUS</dc:creator>
  <cp:lastModifiedBy>Jayden</cp:lastModifiedBy>
  <dcterms:modified xsi:type="dcterms:W3CDTF">2023-07-14T01:26:44Z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5CBEC7DF36764EB1AB6EF4CDA28B7187_12</vt:lpwstr>
  </property>
</Properties>
</file>